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92126.htm"/>
      <w:bookmarkStart w:id="1" w:name="ksf8k_0921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September 22, 2026</w:t>
      </w:r>
    </w:p>
    <w:p>
      <w:pPr>
        <w:pStyle w:val="TextBody"/>
        <w:bidi w:val="0"/>
        <w:jc w:val="center"/>
        <w:rPr/>
      </w:pPr>
      <w:r>
        <w:rPr/>
        <w:t>_______________________________</w:t>
      </w:r>
    </w:p>
    <w:p>
      <w:pPr>
        <w:pStyle w:val="TextBody"/>
        <w:bidi w:val="0"/>
        <w:spacing w:before="120" w:after="283"/>
        <w:jc w:val="center"/>
        <w:rPr>
          <w:b/>
          <w:sz w:val="24"/>
        </w:rPr>
      </w:pPr>
      <w:r>
        <w:rPr>
          <w:b/>
          <w:sz w:val="24"/>
        </w:rPr>
        <w:t>AUTOZONE,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Nevada</w:t>
            </w:r>
          </w:p>
        </w:tc>
        <w:tc>
          <w:tcPr>
            <w:tcW w:w="2210" w:type="dxa"/>
            <w:tcBorders/>
            <w:vAlign w:val="center"/>
          </w:tcPr>
          <w:p>
            <w:pPr>
              <w:pStyle w:val="TableContents"/>
              <w:bidi w:val="0"/>
              <w:spacing w:before="0" w:after="283"/>
              <w:jc w:val="center"/>
              <w:rPr>
                <w:b/>
                <w:sz w:val="20"/>
              </w:rPr>
            </w:pPr>
            <w:r>
              <w:rPr>
                <w:b/>
                <w:sz w:val="20"/>
              </w:rPr>
              <w:t>1-10714</w:t>
            </w:r>
          </w:p>
        </w:tc>
        <w:tc>
          <w:tcPr>
            <w:tcW w:w="2900" w:type="dxa"/>
            <w:tcBorders/>
            <w:vAlign w:val="center"/>
          </w:tcPr>
          <w:p>
            <w:pPr>
              <w:pStyle w:val="TableContents"/>
              <w:bidi w:val="0"/>
              <w:spacing w:before="0" w:after="283"/>
              <w:jc w:val="center"/>
              <w:rPr>
                <w:b/>
                <w:sz w:val="20"/>
              </w:rPr>
            </w:pPr>
            <w:r>
              <w:rPr>
                <w:b/>
                <w:sz w:val="20"/>
              </w:rPr>
              <w:t>62-1482048</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123 South Front Street</w:t>
      </w:r>
    </w:p>
    <w:p>
      <w:pPr>
        <w:pStyle w:val="TextBody"/>
        <w:bidi w:val="0"/>
        <w:spacing w:before="0" w:after="0"/>
        <w:jc w:val="center"/>
        <w:rPr>
          <w:b/>
          <w:sz w:val="20"/>
        </w:rPr>
      </w:pPr>
      <w:r>
        <w:rPr>
          <w:b/>
          <w:sz w:val="20"/>
        </w:rPr>
        <w:t>Memphis, Tennessee 38103</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(901) 495-6500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505" w:type="dxa"/>
        <w:jc w:val="left"/>
        <w:tblInd w:w="0" w:type="dxa"/>
        <w:tblLayout w:type="fixed"/>
        <w:tblCellMar>
          <w:top w:w="0" w:type="dxa"/>
          <w:left w:w="0" w:type="dxa"/>
          <w:bottom w:w="28" w:type="dxa"/>
          <w:right w:w="0" w:type="dxa"/>
        </w:tblCellMar>
      </w:tblPr>
      <w:tblGrid>
        <w:gridCol w:w="3395"/>
        <w:gridCol w:w="1535"/>
        <w:gridCol w:w="3575"/>
      </w:tblGrid>
      <w:tr>
        <w:trPr/>
        <w:tc>
          <w:tcPr>
            <w:tcW w:w="339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395" w:type="dxa"/>
            <w:tcBorders/>
            <w:tcMar>
              <w:bottom w:w="0" w:type="dxa"/>
            </w:tcMar>
            <w:vAlign w:val="center"/>
          </w:tcPr>
          <w:p>
            <w:pPr>
              <w:pStyle w:val="TableContents"/>
              <w:bidi w:val="0"/>
              <w:spacing w:before="0" w:after="283"/>
              <w:jc w:val="center"/>
              <w:rPr>
                <w:sz w:val="20"/>
              </w:rPr>
            </w:pPr>
            <w:r>
              <w:rPr>
                <w:sz w:val="20"/>
              </w:rPr>
              <w:t>Common Stock, par value $0.01 per share</w:t>
            </w:r>
          </w:p>
        </w:tc>
        <w:tc>
          <w:tcPr>
            <w:tcW w:w="1535" w:type="dxa"/>
            <w:tcBorders/>
            <w:tcMar>
              <w:bottom w:w="0" w:type="dxa"/>
            </w:tcMar>
            <w:vAlign w:val="center"/>
          </w:tcPr>
          <w:p>
            <w:pPr>
              <w:pStyle w:val="TableContents"/>
              <w:bidi w:val="0"/>
              <w:spacing w:before="0" w:after="283"/>
              <w:jc w:val="center"/>
              <w:rPr>
                <w:sz w:val="20"/>
              </w:rPr>
            </w:pPr>
            <w:r>
              <w:rPr>
                <w:sz w:val="20"/>
              </w:rPr>
              <w:t>AZO</w:t>
            </w:r>
          </w:p>
        </w:tc>
        <w:tc>
          <w:tcPr>
            <w:tcW w:w="3575" w:type="dxa"/>
            <w:tcBorders/>
            <w:tcMar>
              <w:bottom w:w="0" w:type="dxa"/>
            </w:tcMar>
            <w:vAlign w:val="center"/>
          </w:tcPr>
          <w:p>
            <w:pPr>
              <w:pStyle w:val="TableContents"/>
              <w:bidi w:val="0"/>
              <w:spacing w:before="0" w:after="283"/>
              <w:jc w:val="center"/>
              <w:rPr>
                <w:sz w:val="20"/>
              </w:rPr>
            </w:pPr>
            <w:r>
              <w:rPr>
                <w:sz w:val="20"/>
              </w:rPr>
              <w:t>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spacing w:before="0" w:after="0"/>
        <w:ind w:left="0" w:right="0" w:hanging="0"/>
        <w:jc w:val="left"/>
        <w:rPr>
          <w:sz w:val="20"/>
        </w:rPr>
      </w:pPr>
      <w:r>
        <w:rPr>
          <w:sz w:val="20"/>
        </w:rPr>
        <w:t>On September 22, 2026, AutoZone, Inc. issued a press release announcing its earnings for the fiscal quarter ended August 29, 2026, which is furnished as Exhibit 99.1.</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p>
      <w:pPr>
        <w:pStyle w:val="TextBody"/>
        <w:bidi w:val="0"/>
        <w:spacing w:before="0" w:after="0"/>
        <w:ind w:left="0" w:right="0" w:hanging="0"/>
        <w:jc w:val="left"/>
        <w:rPr>
          <w:sz w:val="20"/>
        </w:rPr>
      </w:pPr>
      <w:r>
        <w:rPr>
          <w:sz w:val="20"/>
        </w:rPr>
        <w:t>(d) Exhibits.</w:t>
      </w:r>
    </w:p>
    <w:p>
      <w:pPr>
        <w:pStyle w:val="TextBody"/>
        <w:bidi w:val="0"/>
        <w:spacing w:before="0" w:after="283"/>
        <w:jc w:val="left"/>
        <w:rPr/>
      </w:pPr>
      <w:r>
        <w:rPr/>
        <w:t> </w:t>
      </w:r>
    </w:p>
    <w:tbl>
      <w:tblPr>
        <w:tblW w:w="7495" w:type="dxa"/>
        <w:jc w:val="left"/>
        <w:tblInd w:w="0" w:type="dxa"/>
        <w:tblLayout w:type="fixed"/>
        <w:tblCellMar>
          <w:top w:w="0" w:type="dxa"/>
          <w:left w:w="0" w:type="dxa"/>
          <w:bottom w:w="0" w:type="dxa"/>
          <w:right w:w="0" w:type="dxa"/>
        </w:tblCellMar>
      </w:tblPr>
      <w:tblGrid>
        <w:gridCol w:w="965"/>
        <w:gridCol w:w="60"/>
        <w:gridCol w:w="6470"/>
      </w:tblGrid>
      <w:tr>
        <w:trPr/>
        <w:tc>
          <w:tcPr>
            <w:tcW w:w="965" w:type="dxa"/>
            <w:tcBorders/>
            <w:vAlign w:val="bottom"/>
          </w:tcPr>
          <w:p>
            <w:pPr>
              <w:pStyle w:val="TableContents"/>
              <w:bidi w:val="0"/>
              <w:spacing w:before="0" w:after="283"/>
              <w:jc w:val="left"/>
              <w:rPr>
                <w:sz w:val="20"/>
                <w:u w:val="single"/>
              </w:rPr>
            </w:pPr>
            <w:r>
              <w:rPr>
                <w:sz w:val="20"/>
                <w:u w:val="singl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September 22, 2026</w:t>
              </w:r>
            </w:hyperlink>
          </w:p>
        </w:tc>
      </w:tr>
      <w:tr>
        <w:trPr/>
        <w:tc>
          <w:tcPr>
            <w:tcW w:w="96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365" w:type="dxa"/>
        <w:jc w:val="left"/>
        <w:tblInd w:w="0" w:type="dxa"/>
        <w:tblLayout w:type="fixed"/>
        <w:tblCellMar>
          <w:top w:w="0" w:type="dxa"/>
          <w:left w:w="0" w:type="dxa"/>
          <w:bottom w:w="0" w:type="dxa"/>
          <w:right w:w="0" w:type="dxa"/>
        </w:tblCellMar>
      </w:tblPr>
      <w:tblGrid>
        <w:gridCol w:w="2120"/>
        <w:gridCol w:w="365"/>
        <w:gridCol w:w="1880"/>
      </w:tblGrid>
      <w:tr>
        <w:trPr/>
        <w:tc>
          <w:tcPr>
            <w:tcW w:w="2120" w:type="dxa"/>
            <w:tcBorders/>
            <w:vAlign w:val="center"/>
          </w:tcPr>
          <w:p>
            <w:pPr>
              <w:pStyle w:val="TableContents"/>
              <w:bidi w:val="0"/>
              <w:spacing w:before="0" w:after="283"/>
              <w:jc w:val="left"/>
              <w:rPr/>
            </w:pPr>
            <w:r>
              <w:rPr/>
              <w:t> </w:t>
            </w:r>
          </w:p>
        </w:tc>
        <w:tc>
          <w:tcPr>
            <w:tcW w:w="2245" w:type="dxa"/>
            <w:gridSpan w:val="2"/>
            <w:tcBorders/>
            <w:vAlign w:val="center"/>
          </w:tcPr>
          <w:p>
            <w:pPr>
              <w:pStyle w:val="TableContents"/>
              <w:bidi w:val="0"/>
              <w:spacing w:before="0" w:after="283"/>
              <w:jc w:val="left"/>
              <w:rPr>
                <w:b/>
                <w:sz w:val="20"/>
              </w:rPr>
            </w:pPr>
            <w:r>
              <w:rPr>
                <w:b/>
                <w:sz w:val="20"/>
              </w:rPr>
              <w:t>AUTOZONE, INC.</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20"/>
              </w:rPr>
            </w:pPr>
            <w:r>
              <w:rPr>
                <w:sz w:val="20"/>
              </w:rPr>
              <w:t>Date: September 22, 2026</w:t>
            </w:r>
          </w:p>
        </w:tc>
        <w:tc>
          <w:tcPr>
            <w:tcW w:w="365" w:type="dxa"/>
            <w:tcBorders/>
            <w:vAlign w:val="center"/>
          </w:tcPr>
          <w:p>
            <w:pPr>
              <w:pStyle w:val="TableContents"/>
              <w:bidi w:val="0"/>
              <w:spacing w:before="0" w:after="283"/>
              <w:jc w:val="left"/>
              <w:rPr>
                <w:sz w:val="20"/>
              </w:rPr>
            </w:pPr>
            <w:r>
              <w:rPr>
                <w:sz w:val="20"/>
              </w:rPr>
              <w:t>By: </w:t>
            </w:r>
          </w:p>
        </w:tc>
        <w:tc>
          <w:tcPr>
            <w:tcW w:w="1880" w:type="dxa"/>
            <w:tcBorders/>
            <w:vAlign w:val="center"/>
          </w:tcPr>
          <w:p>
            <w:pPr>
              <w:pStyle w:val="TableContents"/>
              <w:bidi w:val="0"/>
              <w:spacing w:before="0" w:after="283"/>
              <w:jc w:val="left"/>
              <w:rPr>
                <w:sz w:val="20"/>
                <w:u w:val="single"/>
              </w:rPr>
            </w:pPr>
            <w:r>
              <w:rPr>
                <w:sz w:val="20"/>
                <w:u w:val="single"/>
              </w:rPr>
              <w:t>/s/ Jamere Jackson        </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Jamere Jackson</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Chief Financial Officer</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AutoZone 4th Quarter Total Company Same Store Sales Increase 1.5%; Domestic Same Store Sales Increase 1.6%; 4th Quarter EPS of $56.05; Annual Sales of $20.3 Billion</w:t>
      </w:r>
    </w:p>
    <w:p>
      <w:pPr>
        <w:pStyle w:val="TextBody"/>
        <w:bidi w:val="0"/>
        <w:jc w:val="left"/>
        <w:rPr/>
      </w:pPr>
      <w:r>
        <w:rPr/>
        <w:t>MEMPHIS, Tenn., Sept. 22, 2026 (GLOBE NEWSWIRE) -- AutoZone, Inc. (NYSE: AZO) today reported net sales of $6.6 billion for its fourth quarter (16 weeks) ended August 29, 2026, an increase of 5.6% from the fourth quarter of fiscal 2025 (16 weeks). Same store sales, or sales for our domestic and international stores open at least one year, are as follows:</w:t>
      </w:r>
    </w:p>
    <w:tbl>
      <w:tblPr>
        <w:tblW w:w="9393" w:type="dxa"/>
        <w:jc w:val="left"/>
        <w:tblInd w:w="0" w:type="dxa"/>
        <w:tblLayout w:type="fixed"/>
        <w:tblCellMar>
          <w:top w:w="28" w:type="dxa"/>
          <w:left w:w="28" w:type="dxa"/>
          <w:bottom w:w="28" w:type="dxa"/>
          <w:right w:w="28" w:type="dxa"/>
        </w:tblCellMar>
      </w:tblPr>
      <w:tblGrid>
        <w:gridCol w:w="2195"/>
        <w:gridCol w:w="826"/>
        <w:gridCol w:w="473"/>
        <w:gridCol w:w="35"/>
        <w:gridCol w:w="185"/>
        <w:gridCol w:w="1380"/>
        <w:gridCol w:w="1023"/>
        <w:gridCol w:w="146"/>
        <w:gridCol w:w="650"/>
        <w:gridCol w:w="372"/>
        <w:gridCol w:w="28"/>
        <w:gridCol w:w="146"/>
        <w:gridCol w:w="547"/>
        <w:gridCol w:w="85"/>
        <w:gridCol w:w="1302"/>
      </w:tblGrid>
      <w:tr>
        <w:trPr/>
        <w:tc>
          <w:tcPr>
            <w:tcW w:w="2195" w:type="dxa"/>
            <w:tcBorders/>
            <w:vAlign w:val="center"/>
          </w:tcPr>
          <w:p>
            <w:pPr>
              <w:pStyle w:val="TableContents"/>
              <w:bidi w:val="0"/>
              <w:spacing w:before="0" w:after="283"/>
              <w:jc w:val="left"/>
              <w:rPr/>
            </w:pPr>
            <w:r>
              <w:rPr/>
              <w:t> </w:t>
            </w:r>
          </w:p>
        </w:tc>
        <w:tc>
          <w:tcPr>
            <w:tcW w:w="1334" w:type="dxa"/>
            <w:gridSpan w:val="3"/>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40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5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34" w:type="dxa"/>
            <w:gridSpan w:val="3"/>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1334" w:type="dxa"/>
            <w:gridSpan w:val="3"/>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2403" w:type="dxa"/>
            <w:gridSpan w:val="2"/>
            <w:tcBorders/>
            <w:vAlign w:val="center"/>
          </w:tcPr>
          <w:p>
            <w:pPr>
              <w:pStyle w:val="TableContents"/>
              <w:bidi w:val="0"/>
              <w:spacing w:before="0" w:after="283"/>
              <w:jc w:val="center"/>
              <w:rPr/>
            </w:pPr>
            <w:r>
              <w:rPr/>
              <w:t>Constant Currency</w:t>
            </w:r>
          </w:p>
        </w:tc>
        <w:tc>
          <w:tcPr>
            <w:tcW w:w="146" w:type="dxa"/>
            <w:tcBorders/>
            <w:vAlign w:val="center"/>
          </w:tcPr>
          <w:p>
            <w:pPr>
              <w:pStyle w:val="TableContents"/>
              <w:bidi w:val="0"/>
              <w:spacing w:before="0" w:after="283"/>
              <w:jc w:val="right"/>
              <w:rPr/>
            </w:pPr>
            <w:r>
              <w:rPr/>
              <w:t> </w:t>
            </w:r>
          </w:p>
        </w:tc>
        <w:tc>
          <w:tcPr>
            <w:tcW w:w="105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934" w:type="dxa"/>
            <w:gridSpan w:val="3"/>
            <w:tcBorders/>
            <w:vAlign w:val="center"/>
          </w:tcPr>
          <w:p>
            <w:pPr>
              <w:pStyle w:val="TableContents"/>
              <w:bidi w:val="0"/>
              <w:spacing w:before="0" w:after="283"/>
              <w:jc w:val="center"/>
              <w:rPr/>
            </w:pPr>
            <w:r>
              <w:rPr/>
              <w:t>Constant Currency</w:t>
            </w:r>
          </w:p>
        </w:tc>
      </w:tr>
      <w:tr>
        <w:trPr/>
        <w:tc>
          <w:tcPr>
            <w:tcW w:w="2195" w:type="dxa"/>
            <w:tcBorders/>
            <w:vAlign w:val="center"/>
          </w:tcPr>
          <w:p>
            <w:pPr>
              <w:pStyle w:val="TableContents"/>
              <w:bidi w:val="0"/>
              <w:spacing w:before="0" w:after="283"/>
              <w:jc w:val="left"/>
              <w:rPr/>
            </w:pPr>
            <w:r>
              <w:rPr/>
              <w:t> </w:t>
            </w:r>
          </w:p>
        </w:tc>
        <w:tc>
          <w:tcPr>
            <w:tcW w:w="1334"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16 Weeks</w:t>
            </w:r>
          </w:p>
        </w:tc>
        <w:tc>
          <w:tcPr>
            <w:tcW w:w="185" w:type="dxa"/>
            <w:tcBorders/>
            <w:vAlign w:val="center"/>
          </w:tcPr>
          <w:p>
            <w:pPr>
              <w:pStyle w:val="TableContents"/>
              <w:bidi w:val="0"/>
              <w:spacing w:before="0" w:after="283"/>
              <w:jc w:val="right"/>
              <w:rPr/>
            </w:pPr>
            <w:r>
              <w:rPr/>
              <w:t> </w:t>
            </w:r>
          </w:p>
        </w:tc>
        <w:tc>
          <w:tcPr>
            <w:tcW w:w="240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16 Weeks*</w:t>
            </w:r>
          </w:p>
        </w:tc>
        <w:tc>
          <w:tcPr>
            <w:tcW w:w="146" w:type="dxa"/>
            <w:tcBorders/>
            <w:vAlign w:val="center"/>
          </w:tcPr>
          <w:p>
            <w:pPr>
              <w:pStyle w:val="TableContents"/>
              <w:bidi w:val="0"/>
              <w:spacing w:before="0" w:after="283"/>
              <w:jc w:val="left"/>
              <w:rPr/>
            </w:pPr>
            <w:r>
              <w:rPr/>
              <w:t> </w:t>
            </w:r>
          </w:p>
        </w:tc>
        <w:tc>
          <w:tcPr>
            <w:tcW w:w="105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52 Weeks</w:t>
            </w:r>
          </w:p>
        </w:tc>
        <w:tc>
          <w:tcPr>
            <w:tcW w:w="146" w:type="dxa"/>
            <w:tcBorders/>
            <w:vAlign w:val="center"/>
          </w:tcPr>
          <w:p>
            <w:pPr>
              <w:pStyle w:val="TableContents"/>
              <w:bidi w:val="0"/>
              <w:spacing w:before="0" w:after="283"/>
              <w:jc w:val="right"/>
              <w:rPr/>
            </w:pPr>
            <w:r>
              <w:rPr/>
              <w:t> </w:t>
            </w:r>
          </w:p>
        </w:tc>
        <w:tc>
          <w:tcPr>
            <w:tcW w:w="1934"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52 Weeks*</w:t>
            </w:r>
          </w:p>
        </w:tc>
      </w:tr>
      <w:tr>
        <w:trPr/>
        <w:tc>
          <w:tcPr>
            <w:tcW w:w="2195" w:type="dxa"/>
            <w:tcBorders/>
            <w:vAlign w:val="center"/>
          </w:tcPr>
          <w:p>
            <w:pPr>
              <w:pStyle w:val="TableContents"/>
              <w:bidi w:val="0"/>
              <w:spacing w:before="0" w:after="283"/>
              <w:jc w:val="left"/>
              <w:rPr/>
            </w:pPr>
            <w:r>
              <w:rPr/>
              <w:t> </w:t>
            </w:r>
          </w:p>
        </w:tc>
        <w:tc>
          <w:tcPr>
            <w:tcW w:w="1334" w:type="dxa"/>
            <w:gridSpan w:val="3"/>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2403"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5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934" w:type="dxa"/>
            <w:gridSpan w:val="3"/>
            <w:tcBorders/>
            <w:vAlign w:val="center"/>
          </w:tcPr>
          <w:p>
            <w:pPr>
              <w:pStyle w:val="TableContents"/>
              <w:bidi w:val="0"/>
              <w:spacing w:before="0" w:after="283"/>
              <w:jc w:val="right"/>
              <w:rPr/>
            </w:pPr>
            <w:r>
              <w:rPr/>
              <w:t> </w:t>
            </w:r>
          </w:p>
        </w:tc>
      </w:tr>
      <w:tr>
        <w:trPr/>
        <w:tc>
          <w:tcPr>
            <w:tcW w:w="2195" w:type="dxa"/>
            <w:tcBorders/>
            <w:vAlign w:val="center"/>
          </w:tcPr>
          <w:p>
            <w:pPr>
              <w:pStyle w:val="TableContents"/>
              <w:bidi w:val="0"/>
              <w:spacing w:before="0" w:after="283"/>
              <w:jc w:val="left"/>
              <w:rPr/>
            </w:pPr>
            <w:r>
              <w:rPr/>
              <w:t>Domestic</w:t>
            </w:r>
          </w:p>
        </w:tc>
        <w:tc>
          <w:tcPr>
            <w:tcW w:w="826" w:type="dxa"/>
            <w:tcBorders/>
            <w:vAlign w:val="center"/>
          </w:tcPr>
          <w:p>
            <w:pPr>
              <w:pStyle w:val="TableContents"/>
              <w:bidi w:val="0"/>
              <w:spacing w:before="0" w:after="283"/>
              <w:jc w:val="right"/>
              <w:rPr/>
            </w:pPr>
            <w:r>
              <w:rPr/>
              <w:t>1.6</w:t>
            </w:r>
          </w:p>
        </w:tc>
        <w:tc>
          <w:tcPr>
            <w:tcW w:w="473" w:type="dxa"/>
            <w:tcBorders/>
            <w:vAlign w:val="center"/>
          </w:tcPr>
          <w:p>
            <w:pPr>
              <w:pStyle w:val="TableContents"/>
              <w:bidi w:val="0"/>
              <w:spacing w:before="0" w:after="283"/>
              <w:jc w:val="left"/>
              <w:rPr/>
            </w:pPr>
            <w:r>
              <w:rPr/>
              <w:t>%</w:t>
            </w:r>
          </w:p>
        </w:tc>
        <w:tc>
          <w:tcPr>
            <w:tcW w:w="220" w:type="dxa"/>
            <w:gridSpan w:val="2"/>
            <w:tcBorders/>
            <w:vAlign w:val="center"/>
          </w:tcPr>
          <w:p>
            <w:pPr>
              <w:pStyle w:val="TableContents"/>
              <w:bidi w:val="0"/>
              <w:spacing w:before="0" w:after="283"/>
              <w:jc w:val="right"/>
              <w:rPr/>
            </w:pPr>
            <w:r>
              <w:rPr/>
              <w:t> </w:t>
            </w:r>
          </w:p>
        </w:tc>
        <w:tc>
          <w:tcPr>
            <w:tcW w:w="1380" w:type="dxa"/>
            <w:tcBorders/>
            <w:vAlign w:val="center"/>
          </w:tcPr>
          <w:p>
            <w:pPr>
              <w:pStyle w:val="TableContents"/>
              <w:bidi w:val="0"/>
              <w:spacing w:before="0" w:after="283"/>
              <w:jc w:val="right"/>
              <w:rPr/>
            </w:pPr>
            <w:r>
              <w:rPr/>
              <w:t>1.6</w:t>
            </w:r>
          </w:p>
        </w:tc>
        <w:tc>
          <w:tcPr>
            <w:tcW w:w="102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650" w:type="dxa"/>
            <w:tcBorders/>
            <w:vAlign w:val="center"/>
          </w:tcPr>
          <w:p>
            <w:pPr>
              <w:pStyle w:val="TableContents"/>
              <w:bidi w:val="0"/>
              <w:spacing w:before="0" w:after="283"/>
              <w:jc w:val="right"/>
              <w:rPr/>
            </w:pPr>
            <w:r>
              <w:rPr/>
              <w:t>3.3</w:t>
            </w:r>
          </w:p>
        </w:tc>
        <w:tc>
          <w:tcPr>
            <w:tcW w:w="372" w:type="dxa"/>
            <w:tcBorders/>
            <w:vAlign w:val="center"/>
          </w:tcPr>
          <w:p>
            <w:pPr>
              <w:pStyle w:val="TableContents"/>
              <w:bidi w:val="0"/>
              <w:spacing w:before="0" w:after="283"/>
              <w:jc w:val="left"/>
              <w:rPr/>
            </w:pPr>
            <w:r>
              <w:rPr/>
              <w:t>%</w:t>
            </w:r>
          </w:p>
        </w:tc>
        <w:tc>
          <w:tcPr>
            <w:tcW w:w="174" w:type="dxa"/>
            <w:gridSpan w:val="2"/>
            <w:tcBorders/>
            <w:vAlign w:val="center"/>
          </w:tcPr>
          <w:p>
            <w:pPr>
              <w:pStyle w:val="TableContents"/>
              <w:bidi w:val="0"/>
              <w:spacing w:before="0" w:after="283"/>
              <w:jc w:val="right"/>
              <w:rPr/>
            </w:pPr>
            <w:r>
              <w:rPr/>
              <w:t> </w:t>
            </w:r>
          </w:p>
        </w:tc>
        <w:tc>
          <w:tcPr>
            <w:tcW w:w="632" w:type="dxa"/>
            <w:gridSpan w:val="2"/>
            <w:tcBorders/>
            <w:vAlign w:val="center"/>
          </w:tcPr>
          <w:p>
            <w:pPr>
              <w:pStyle w:val="TableContents"/>
              <w:bidi w:val="0"/>
              <w:spacing w:before="0" w:after="283"/>
              <w:jc w:val="right"/>
              <w:rPr/>
            </w:pPr>
            <w:r>
              <w:rPr/>
              <w:t>3.3</w:t>
            </w:r>
          </w:p>
        </w:tc>
        <w:tc>
          <w:tcPr>
            <w:tcW w:w="1302" w:type="dxa"/>
            <w:tcBorders/>
            <w:vAlign w:val="center"/>
          </w:tcPr>
          <w:p>
            <w:pPr>
              <w:pStyle w:val="TableContents"/>
              <w:bidi w:val="0"/>
              <w:spacing w:before="0" w:after="283"/>
              <w:jc w:val="left"/>
              <w:rPr/>
            </w:pPr>
            <w:r>
              <w:rPr/>
              <w:t>%</w:t>
            </w:r>
          </w:p>
        </w:tc>
      </w:tr>
      <w:tr>
        <w:trPr/>
        <w:tc>
          <w:tcPr>
            <w:tcW w:w="2195" w:type="dxa"/>
            <w:tcBorders/>
            <w:vAlign w:val="center"/>
          </w:tcPr>
          <w:p>
            <w:pPr>
              <w:pStyle w:val="TableContents"/>
              <w:bidi w:val="0"/>
              <w:spacing w:before="0" w:after="283"/>
              <w:jc w:val="left"/>
              <w:rPr/>
            </w:pPr>
            <w:r>
              <w:rPr/>
              <w:t>International</w:t>
            </w:r>
          </w:p>
        </w:tc>
        <w:tc>
          <w:tcPr>
            <w:tcW w:w="826" w:type="dxa"/>
            <w:tcBorders/>
            <w:vAlign w:val="center"/>
          </w:tcPr>
          <w:p>
            <w:pPr>
              <w:pStyle w:val="TableContents"/>
              <w:bidi w:val="0"/>
              <w:spacing w:before="0" w:after="283"/>
              <w:jc w:val="right"/>
              <w:rPr/>
            </w:pPr>
            <w:r>
              <w:rPr/>
              <w:t>10.7</w:t>
            </w:r>
          </w:p>
        </w:tc>
        <w:tc>
          <w:tcPr>
            <w:tcW w:w="473" w:type="dxa"/>
            <w:tcBorders/>
            <w:vAlign w:val="center"/>
          </w:tcPr>
          <w:p>
            <w:pPr>
              <w:pStyle w:val="TableContents"/>
              <w:bidi w:val="0"/>
              <w:spacing w:before="0" w:after="283"/>
              <w:jc w:val="left"/>
              <w:rPr/>
            </w:pPr>
            <w:r>
              <w:rPr/>
              <w:t>%</w:t>
            </w:r>
          </w:p>
        </w:tc>
        <w:tc>
          <w:tcPr>
            <w:tcW w:w="220" w:type="dxa"/>
            <w:gridSpan w:val="2"/>
            <w:tcBorders/>
            <w:vAlign w:val="center"/>
          </w:tcPr>
          <w:p>
            <w:pPr>
              <w:pStyle w:val="TableContents"/>
              <w:bidi w:val="0"/>
              <w:spacing w:before="0" w:after="283"/>
              <w:jc w:val="right"/>
              <w:rPr/>
            </w:pPr>
            <w:r>
              <w:rPr/>
              <w:t> </w:t>
            </w:r>
          </w:p>
        </w:tc>
        <w:tc>
          <w:tcPr>
            <w:tcW w:w="1380" w:type="dxa"/>
            <w:tcBorders/>
            <w:vAlign w:val="center"/>
          </w:tcPr>
          <w:p>
            <w:pPr>
              <w:pStyle w:val="TableContents"/>
              <w:bidi w:val="0"/>
              <w:spacing w:before="0" w:after="283"/>
              <w:jc w:val="right"/>
              <w:rPr/>
            </w:pPr>
            <w:r>
              <w:rPr/>
              <w:t>1.3</w:t>
            </w:r>
          </w:p>
        </w:tc>
        <w:tc>
          <w:tcPr>
            <w:tcW w:w="102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650" w:type="dxa"/>
            <w:tcBorders/>
            <w:vAlign w:val="center"/>
          </w:tcPr>
          <w:p>
            <w:pPr>
              <w:pStyle w:val="TableContents"/>
              <w:bidi w:val="0"/>
              <w:spacing w:before="0" w:after="283"/>
              <w:jc w:val="right"/>
              <w:rPr/>
            </w:pPr>
            <w:r>
              <w:rPr/>
              <w:t>13.5</w:t>
            </w:r>
          </w:p>
        </w:tc>
        <w:tc>
          <w:tcPr>
            <w:tcW w:w="372" w:type="dxa"/>
            <w:tcBorders/>
            <w:vAlign w:val="center"/>
          </w:tcPr>
          <w:p>
            <w:pPr>
              <w:pStyle w:val="TableContents"/>
              <w:bidi w:val="0"/>
              <w:spacing w:before="0" w:after="283"/>
              <w:jc w:val="left"/>
              <w:rPr/>
            </w:pPr>
            <w:r>
              <w:rPr/>
              <w:t>%</w:t>
            </w:r>
          </w:p>
        </w:tc>
        <w:tc>
          <w:tcPr>
            <w:tcW w:w="174" w:type="dxa"/>
            <w:gridSpan w:val="2"/>
            <w:tcBorders/>
            <w:vAlign w:val="center"/>
          </w:tcPr>
          <w:p>
            <w:pPr>
              <w:pStyle w:val="TableContents"/>
              <w:bidi w:val="0"/>
              <w:spacing w:before="0" w:after="283"/>
              <w:jc w:val="right"/>
              <w:rPr/>
            </w:pPr>
            <w:r>
              <w:rPr/>
              <w:t> </w:t>
            </w:r>
          </w:p>
        </w:tc>
        <w:tc>
          <w:tcPr>
            <w:tcW w:w="632" w:type="dxa"/>
            <w:gridSpan w:val="2"/>
            <w:tcBorders/>
            <w:vAlign w:val="center"/>
          </w:tcPr>
          <w:p>
            <w:pPr>
              <w:pStyle w:val="TableContents"/>
              <w:bidi w:val="0"/>
              <w:spacing w:before="0" w:after="283"/>
              <w:jc w:val="right"/>
              <w:rPr/>
            </w:pPr>
            <w:r>
              <w:rPr/>
              <w:t>2.2</w:t>
            </w:r>
          </w:p>
        </w:tc>
        <w:tc>
          <w:tcPr>
            <w:tcW w:w="1302" w:type="dxa"/>
            <w:tcBorders/>
            <w:vAlign w:val="center"/>
          </w:tcPr>
          <w:p>
            <w:pPr>
              <w:pStyle w:val="TableContents"/>
              <w:bidi w:val="0"/>
              <w:spacing w:before="0" w:after="283"/>
              <w:jc w:val="left"/>
              <w:rPr/>
            </w:pPr>
            <w:r>
              <w:rPr/>
              <w:t>%</w:t>
            </w:r>
          </w:p>
        </w:tc>
      </w:tr>
      <w:tr>
        <w:trPr/>
        <w:tc>
          <w:tcPr>
            <w:tcW w:w="2195" w:type="dxa"/>
            <w:tcBorders/>
            <w:vAlign w:val="center"/>
          </w:tcPr>
          <w:p>
            <w:pPr>
              <w:pStyle w:val="TableContents"/>
              <w:bidi w:val="0"/>
              <w:spacing w:before="0" w:after="283"/>
              <w:jc w:val="left"/>
              <w:rPr/>
            </w:pPr>
            <w:r>
              <w:rPr>
                <w:rStyle w:val="StrongEmphasis"/>
              </w:rPr>
              <w:t>Total Company</w:t>
            </w:r>
          </w:p>
        </w:tc>
        <w:tc>
          <w:tcPr>
            <w:tcW w:w="826" w:type="dxa"/>
            <w:tcBorders/>
            <w:vAlign w:val="center"/>
          </w:tcPr>
          <w:p>
            <w:pPr>
              <w:pStyle w:val="TableContents"/>
              <w:bidi w:val="0"/>
              <w:spacing w:before="0" w:after="283"/>
              <w:jc w:val="right"/>
              <w:rPr/>
            </w:pPr>
            <w:r>
              <w:rPr/>
              <w:t>2.7</w:t>
            </w:r>
          </w:p>
        </w:tc>
        <w:tc>
          <w:tcPr>
            <w:tcW w:w="473" w:type="dxa"/>
            <w:tcBorders/>
            <w:vAlign w:val="center"/>
          </w:tcPr>
          <w:p>
            <w:pPr>
              <w:pStyle w:val="TableContents"/>
              <w:bidi w:val="0"/>
              <w:spacing w:before="0" w:after="283"/>
              <w:jc w:val="left"/>
              <w:rPr/>
            </w:pPr>
            <w:r>
              <w:rPr/>
              <w:t>%</w:t>
            </w:r>
          </w:p>
        </w:tc>
        <w:tc>
          <w:tcPr>
            <w:tcW w:w="220" w:type="dxa"/>
            <w:gridSpan w:val="2"/>
            <w:tcBorders/>
            <w:vAlign w:val="center"/>
          </w:tcPr>
          <w:p>
            <w:pPr>
              <w:pStyle w:val="TableContents"/>
              <w:bidi w:val="0"/>
              <w:spacing w:before="0" w:after="283"/>
              <w:jc w:val="right"/>
              <w:rPr/>
            </w:pPr>
            <w:r>
              <w:rPr/>
              <w:t> </w:t>
            </w:r>
          </w:p>
        </w:tc>
        <w:tc>
          <w:tcPr>
            <w:tcW w:w="1380" w:type="dxa"/>
            <w:tcBorders/>
            <w:vAlign w:val="center"/>
          </w:tcPr>
          <w:p>
            <w:pPr>
              <w:pStyle w:val="TableContents"/>
              <w:bidi w:val="0"/>
              <w:spacing w:before="0" w:after="283"/>
              <w:jc w:val="right"/>
              <w:rPr/>
            </w:pPr>
            <w:r>
              <w:rPr/>
              <w:t>1.5</w:t>
            </w:r>
          </w:p>
        </w:tc>
        <w:tc>
          <w:tcPr>
            <w:tcW w:w="102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650" w:type="dxa"/>
            <w:tcBorders/>
            <w:vAlign w:val="center"/>
          </w:tcPr>
          <w:p>
            <w:pPr>
              <w:pStyle w:val="TableContents"/>
              <w:bidi w:val="0"/>
              <w:spacing w:before="0" w:after="283"/>
              <w:jc w:val="right"/>
              <w:rPr/>
            </w:pPr>
            <w:r>
              <w:rPr/>
              <w:t>4.5</w:t>
            </w:r>
          </w:p>
        </w:tc>
        <w:tc>
          <w:tcPr>
            <w:tcW w:w="372" w:type="dxa"/>
            <w:tcBorders/>
            <w:vAlign w:val="center"/>
          </w:tcPr>
          <w:p>
            <w:pPr>
              <w:pStyle w:val="TableContents"/>
              <w:bidi w:val="0"/>
              <w:spacing w:before="0" w:after="283"/>
              <w:jc w:val="left"/>
              <w:rPr/>
            </w:pPr>
            <w:r>
              <w:rPr/>
              <w:t>%</w:t>
            </w:r>
          </w:p>
        </w:tc>
        <w:tc>
          <w:tcPr>
            <w:tcW w:w="174" w:type="dxa"/>
            <w:gridSpan w:val="2"/>
            <w:tcBorders/>
            <w:vAlign w:val="center"/>
          </w:tcPr>
          <w:p>
            <w:pPr>
              <w:pStyle w:val="TableContents"/>
              <w:bidi w:val="0"/>
              <w:spacing w:before="0" w:after="283"/>
              <w:jc w:val="right"/>
              <w:rPr/>
            </w:pPr>
            <w:r>
              <w:rPr/>
              <w:t> </w:t>
            </w:r>
          </w:p>
        </w:tc>
        <w:tc>
          <w:tcPr>
            <w:tcW w:w="632" w:type="dxa"/>
            <w:gridSpan w:val="2"/>
            <w:tcBorders/>
            <w:vAlign w:val="center"/>
          </w:tcPr>
          <w:p>
            <w:pPr>
              <w:pStyle w:val="TableContents"/>
              <w:bidi w:val="0"/>
              <w:spacing w:before="0" w:after="283"/>
              <w:jc w:val="right"/>
              <w:rPr/>
            </w:pPr>
            <w:r>
              <w:rPr/>
              <w:t>3.2</w:t>
            </w:r>
          </w:p>
        </w:tc>
        <w:tc>
          <w:tcPr>
            <w:tcW w:w="1302" w:type="dxa"/>
            <w:tcBorders/>
            <w:vAlign w:val="center"/>
          </w:tcPr>
          <w:p>
            <w:pPr>
              <w:pStyle w:val="TableContents"/>
              <w:bidi w:val="0"/>
              <w:spacing w:before="0" w:after="283"/>
              <w:jc w:val="left"/>
              <w:rPr/>
            </w:pPr>
            <w:r>
              <w:rPr/>
              <w:t>%</w:t>
            </w:r>
          </w:p>
        </w:tc>
      </w:tr>
      <w:tr>
        <w:trPr/>
        <w:tc>
          <w:tcPr>
            <w:tcW w:w="6117" w:type="dxa"/>
            <w:gridSpan w:val="7"/>
            <w:tcBorders/>
            <w:tcMar>
              <w:top w:w="0" w:type="dxa"/>
              <w:left w:w="0" w:type="dxa"/>
              <w:bottom w:w="0" w:type="dxa"/>
              <w:right w:w="0" w:type="dxa"/>
            </w:tcMar>
            <w:vAlign w:val="center"/>
          </w:tcPr>
          <w:p>
            <w:pPr>
              <w:pStyle w:val="TableContents"/>
              <w:bidi w:val="0"/>
              <w:spacing w:before="0" w:after="283"/>
              <w:jc w:val="left"/>
              <w:rPr/>
            </w:pPr>
            <w:r>
              <w:rPr/>
              <w:t>* Excludes impacts from fluctuations of foreign exchange rates.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1387" w:type="dxa"/>
            <w:gridSpan w:val="2"/>
            <w:tcBorders/>
            <w:vAlign w:val="center"/>
          </w:tcPr>
          <w:p>
            <w:pPr>
              <w:pStyle w:val="TableContents"/>
              <w:bidi w:val="0"/>
              <w:spacing w:before="0" w:after="283"/>
              <w:jc w:val="left"/>
              <w:rPr/>
            </w:pPr>
            <w:r>
              <w:rPr/>
              <w:t> </w:t>
            </w:r>
          </w:p>
        </w:tc>
      </w:tr>
    </w:tbl>
    <w:p>
      <w:pPr>
        <w:pStyle w:val="TextBody"/>
        <w:bidi w:val="0"/>
        <w:spacing w:before="0" w:after="283"/>
        <w:jc w:val="left"/>
        <w:rPr/>
      </w:pPr>
      <w:r>
        <w:rPr/>
        <w:br/>
        <w:t>For the quarter, gross profit, as a percentage of sales, was 53.3%, an increase of 182 basis points versus the prior year. The increase in gross margin was driven by a 145 basis point impact from tariff refunds and a 105 basis point net non-cash LIFO impact, partially offset by higher commercial mix. Operating expenses, as a percentage of sales, were 33.4% versus last year at 32.4% with deleverage primarily driven by growth initiatives.</w:t>
      </w:r>
    </w:p>
    <w:p>
      <w:pPr>
        <w:pStyle w:val="TextBody"/>
        <w:bidi w:val="0"/>
        <w:spacing w:before="0" w:after="283"/>
        <w:jc w:val="left"/>
        <w:rPr/>
      </w:pPr>
      <w:r>
        <w:rPr/>
        <w:t>Operating profit increased 10.1% to $1.3 billion. Net income for the quarter was $931.6 million compared to $837.0 million in the same period last year, while diluted earnings per share were $56.05 compared to last year at $48.71.</w:t>
      </w:r>
    </w:p>
    <w:p>
      <w:pPr>
        <w:pStyle w:val="TextBody"/>
        <w:bidi w:val="0"/>
        <w:spacing w:before="0" w:after="283"/>
        <w:jc w:val="left"/>
        <w:rPr/>
      </w:pPr>
      <w:r>
        <w:rPr/>
        <w:t>For the fiscal year ended August 29, 2026, net sales were $20.3 billion, an increase of 7.4% from the prior year. Gross profit, as a percentage of sales, was 52.3% versus last year at 52.6%. The decrease in gross margin was impacted by a 61 basis point net non-cash LIFO impact, partially offset by a 48 basis point benefit from tariff refunds. Operating expenses, as a percentage of sales, were 34.0% versus last year at 33.6%. Operating profit increased 3.1% to $3.7 billion, net income increased 3.0% to $2.6 billion and diluted earnings per share increased 5.3% to $152.55 from $144.87.</w:t>
      </w:r>
    </w:p>
    <w:p>
      <w:pPr>
        <w:pStyle w:val="TextBody"/>
        <w:bidi w:val="0"/>
        <w:spacing w:before="0" w:after="283"/>
        <w:jc w:val="left"/>
        <w:rPr/>
      </w:pPr>
      <w:r>
        <w:rPr/>
        <w:t>Under its share repurchase program, AutoZone repurchased 223 thousand shares of its common stock at an average price per share of $3,125, for a total investment of $697.5 million. For the fiscal year, the Company repurchased 579 thousand shares of its common stock, at an average price of $3,496, for a total investment of $2.0 billion. At year end, the Company had $1.6 billion remaining under its current share repurchase authorization.</w:t>
      </w:r>
    </w:p>
    <w:p>
      <w:pPr>
        <w:pStyle w:val="TextBody"/>
        <w:bidi w:val="0"/>
        <w:spacing w:before="0" w:after="283"/>
        <w:jc w:val="left"/>
        <w:rPr/>
      </w:pPr>
      <w:r>
        <w:rPr/>
        <w:t>The Company’s inventory increased 10.1% over the same period last year, driven primarily by growth initiatives. Net inventory, defined as merchandise inventories less accounts payable, on a per store basis, was negative $107 thousand versus negative $131 thousand last year and negative $107 thousand last quarter.</w:t>
      </w:r>
    </w:p>
    <w:p>
      <w:pPr>
        <w:pStyle w:val="TextBody"/>
        <w:bidi w:val="0"/>
        <w:spacing w:before="0" w:after="283"/>
        <w:jc w:val="left"/>
        <w:rPr/>
      </w:pPr>
      <w:r>
        <w:rPr/>
        <w:t>“</w:t>
      </w:r>
      <w:r>
        <w:rPr/>
        <w:t>I want to thank our entire organization for delivering another quarter of sales and earnings growth. In spite of a difficult selling environment the first eight weeks of our quarter, we remained committed to executing on our strategies to grow both our domestic and international businesses. Over the last eight weeks of the quarter our sales results strengthened, and we feel we are well positioned for sales growth in fiscal 2027.  We opened 175 new stores this past quarter, which included 16 new Mega Hub stores in the U.S. We continue to improve our inventory offering for both the do-it-yourself and professional customers. We continue to improve our speed of delivery and are intently focused on exceptional customer service. Based on the data we have, we continued to gain share and we expect sales in each of the three countries in which we operate to accelerate in the new fiscal year.  As always, we will remain committed to a disciplined approach of driving shareholder value,” said Phil Daniele, President and Chief Executive Officer.</w:t>
      </w:r>
    </w:p>
    <w:p>
      <w:pPr>
        <w:pStyle w:val="TextBody"/>
        <w:bidi w:val="0"/>
        <w:spacing w:before="0" w:after="283"/>
        <w:jc w:val="left"/>
        <w:rPr/>
      </w:pPr>
      <w:r>
        <w:rPr/>
        <w:t>During the quarter ended August 29, 2026, AutoZone opened 97 new stores in the U.S., 68 in Mexico and 10 in Brazil for a total of 175 new stores. For the fiscal year, the Company opened 374 new stores. As of August 29, 2026, the Company had 6,863 stores in the U.S., 1,001 in Mexico and 167 in Brazil for a total store count of 8,031.</w:t>
      </w:r>
    </w:p>
    <w:p>
      <w:pPr>
        <w:pStyle w:val="TextBody"/>
        <w:bidi w:val="0"/>
        <w:spacing w:before="0" w:after="283"/>
        <w:jc w:val="left"/>
        <w:rPr/>
      </w:pPr>
      <w:r>
        <w:rPr/>
        <w:t>AutoZone is a leading retailer and distributor of automotive replacement parts and accessories in the Americas. Each store carries an extensive product line for cars, sport utility vehicles, vans and light duty trucks, including new and remanufactured automotive hard parts, maintenance items, accessories, and non-automotive products. The majority of stores have a commercial sales program that provides prompt delivery of parts and other products and commercial credit to local, regional and national repair garages, dealers, service stations, fleet owners and other accounts. AutoZone also sells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AutoZone does not derive revenue from automotive repair or installation services.</w:t>
      </w:r>
    </w:p>
    <w:p>
      <w:pPr>
        <w:pStyle w:val="TextBody"/>
        <w:bidi w:val="0"/>
        <w:spacing w:before="0" w:after="283"/>
        <w:jc w:val="left"/>
        <w:rPr/>
      </w:pPr>
      <w:r>
        <w:rPr/>
        <w:t>AutoZone will host a conference call this morning, Tuesday, September 22, 2026, beginning at 10:00 a.m. (ET) to discuss its fourth quarter results. This call is being webcast and can be accessed, along with supporting slides, at AutoZone’s website at www.autozone.com by clicking on Investor Relations. Investors may also listen to the call by dialing (888) 506-0062, passcode AUTOZONE. In addition, a telephone replay will be available by dialing (877) 481-4010, replay passcode 54424 through October 20, 2026.</w:t>
      </w:r>
    </w:p>
    <w:p>
      <w:pPr>
        <w:pStyle w:val="TextBody"/>
        <w:bidi w:val="0"/>
        <w:spacing w:before="0" w:after="283"/>
        <w:jc w:val="left"/>
        <w:rPr/>
      </w:pPr>
      <w:r>
        <w:rPr/>
        <w:t>This release includes certain financial information not derived in accordance with generally accepted accounting principles (“GAAP”). These non-GAAP measures include adjustments to reflect return on invested capital, adjusted debt and adjusted debt to earnings before interest, taxes, depreciation, amortization, rent and share-based expense (“EBITDAR”). The Company believes that the presentation of these non-GAAP measures provides information that is useful to investors as it indicates more clearly the Company’s comparative year-to-year operating results, but this information should not be considered a substitute for any measures derived in accordance with GAAP. Management targets the Company’s capital structure in order to maintain its investment grade credit ratings. The Company believes this is important information for the management of its debt levels and share repurchases. We have included a reconciliation of this additional information to the most comparable GAAP measures in the accompanying reconciliation tables.</w:t>
      </w:r>
    </w:p>
    <w:p>
      <w:pPr>
        <w:pStyle w:val="TextBody"/>
        <w:bidi w:val="0"/>
        <w:spacing w:before="0" w:after="283"/>
        <w:jc w:val="left"/>
        <w:rPr/>
      </w:pPr>
      <w:r>
        <w:rPr/>
        <w:t>Certain statements herein constitute forward-looking statements that are subject to the safe harbor provisions of the Private Securities Litigation Reform Act of 1995. Forward-looking statements typically use words such as “believe,” “anticipate,” “should,” “intend,” “plan,” “will,” “expect,” “estimate,” “project,” “positioned,” “strategy,” “seek,” “may,” “could” and similar expressions. These statements are based on assumptions and assessments made by our management in light of experience, historical trends, current conditions, expected future developments and other factors that we believe appropriate. These forward-looking statements are subject to a number of risks and uncertainties, including without limitation: product demand, due to changes in fuel prices, miles driven or otherwise; energy prices; weather, including extreme temperatures and natural disasters; competition; credit market conditions; cash flows; access to financing on favorable terms; future stock repurchases; the impact of recessionary conditions; consumer debt levels; changes in laws or regulations; risks associated with self-insurance; war and the prospect of war, including terrorist activity; public health issues; inflation, including wage inflation; exchange rates; the ability to hire, train and retain qualified employees, including members of management; construction delays; failure or interruption of our information technology systems; issues relating to the confidentiality, integrity or availability of information, including due to cyber-attacks; historic sales and profit growth rate sustainability; downgrade of our credit ratings; damage to our reputation; challenges associated with doing business in and expanding into international markets; origin and raw material costs of suppliers; inventory availability; disruption in our supply chain; tariffs, trade policies and other geopolitical factors; new accounting standards; our ability to execute our growth initiatives; and other business interruptions. These and other risks and uncertainties are discussed in more detail in the “Risk Factors” section contained in Item 1A under Part 1 of our Annual Report on Form 10-K for the year ended August 30, 2025. Forward-looking statements are not guarantees of future performance and actual results may differ materially from those contemplated by such forward-looking statements. Events described above and in the “Risk Factors” section could materially and adversely affect our business. However,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w:t>
      </w:r>
    </w:p>
    <w:p>
      <w:pPr>
        <w:pStyle w:val="TextBody"/>
        <w:bidi w:val="0"/>
        <w:spacing w:before="0" w:after="283"/>
        <w:jc w:val="left"/>
        <w:rPr/>
      </w:pPr>
      <w:r>
        <w:rPr/>
        <w:t>Contact Information:</w:t>
        <w:br/>
        <w:t>Financial: Brian Campbell at (901) 495-7005, brian.campbell@autozone.com</w:t>
        <w:br/>
        <w:t>Media: Jennifer Hughes at (901) 495-6022, jennifer.hughes@autozone.com</w:t>
      </w:r>
    </w:p>
    <w:p>
      <w:pPr>
        <w:pStyle w:val="TextBody"/>
        <w:bidi w:val="0"/>
        <w:spacing w:before="0" w:after="283"/>
        <w:jc w:val="left"/>
        <w:rPr/>
      </w:pPr>
      <w:r>
        <w:rPr/>
      </w:r>
    </w:p>
    <w:tbl>
      <w:tblPr>
        <w:tblW w:w="8232" w:type="dxa"/>
        <w:jc w:val="left"/>
        <w:tblInd w:w="0" w:type="dxa"/>
        <w:tblLayout w:type="fixed"/>
        <w:tblCellMar>
          <w:top w:w="28" w:type="dxa"/>
          <w:left w:w="28" w:type="dxa"/>
          <w:bottom w:w="28" w:type="dxa"/>
          <w:right w:w="28" w:type="dxa"/>
        </w:tblCellMar>
      </w:tblPr>
      <w:tblGrid>
        <w:gridCol w:w="4411"/>
        <w:gridCol w:w="257"/>
        <w:gridCol w:w="1352"/>
        <w:gridCol w:w="206"/>
        <w:gridCol w:w="146"/>
        <w:gridCol w:w="256"/>
        <w:gridCol w:w="1348"/>
        <w:gridCol w:w="256"/>
      </w:tblGrid>
      <w:tr>
        <w:trPr/>
        <w:tc>
          <w:tcPr>
            <w:tcW w:w="8232" w:type="dxa"/>
            <w:gridSpan w:val="8"/>
            <w:tcBorders/>
            <w:vAlign w:val="center"/>
          </w:tcPr>
          <w:p>
            <w:pPr>
              <w:pStyle w:val="TableContents"/>
              <w:bidi w:val="0"/>
              <w:spacing w:before="0" w:after="283"/>
              <w:jc w:val="left"/>
              <w:rPr/>
            </w:pPr>
            <w:r>
              <w:rPr>
                <w:rStyle w:val="StrongEmphasis"/>
              </w:rPr>
              <w:t>AutoZone's 4th Quarter Highlights - Fiscal 2026</w:t>
            </w:r>
          </w:p>
        </w:tc>
      </w:tr>
      <w:tr>
        <w:trPr/>
        <w:tc>
          <w:tcPr>
            <w:tcW w:w="4411" w:type="dxa"/>
            <w:tcBorders/>
            <w:vAlign w:val="center"/>
          </w:tcPr>
          <w:p>
            <w:pPr>
              <w:pStyle w:val="TableContents"/>
              <w:bidi w:val="0"/>
              <w:spacing w:before="0" w:after="283"/>
              <w:jc w:val="right"/>
              <w:rPr/>
            </w:pPr>
            <w:r>
              <w:rPr/>
              <w:t> </w:t>
            </w:r>
          </w:p>
        </w:tc>
        <w:tc>
          <w:tcPr>
            <w:tcW w:w="1815"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6226" w:type="dxa"/>
            <w:gridSpan w:val="4"/>
            <w:tcBorders/>
            <w:vAlign w:val="center"/>
          </w:tcPr>
          <w:p>
            <w:pPr>
              <w:pStyle w:val="TableContents"/>
              <w:bidi w:val="0"/>
              <w:spacing w:before="0" w:after="283"/>
              <w:jc w:val="left"/>
              <w:rPr/>
            </w:pPr>
            <w:r>
              <w:rPr>
                <w:rStyle w:val="StrongEmphasis"/>
              </w:rPr>
              <w:t>Condensed Consolidated Statements of Operations</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vAlign w:val="center"/>
          </w:tcPr>
          <w:p>
            <w:pPr>
              <w:pStyle w:val="TableContents"/>
              <w:bidi w:val="0"/>
              <w:spacing w:before="0" w:after="283"/>
              <w:jc w:val="left"/>
              <w:rPr/>
            </w:pPr>
            <w:r>
              <w:rPr>
                <w:rStyle w:val="StrongEmphasis"/>
              </w:rPr>
              <w:t>4th Quarter, FY2026</w:t>
            </w:r>
          </w:p>
        </w:tc>
        <w:tc>
          <w:tcPr>
            <w:tcW w:w="1815"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vAlign w:val="center"/>
          </w:tcPr>
          <w:p>
            <w:pPr>
              <w:pStyle w:val="TableContents"/>
              <w:bidi w:val="0"/>
              <w:spacing w:before="0" w:after="283"/>
              <w:jc w:val="left"/>
              <w:rPr/>
            </w:pPr>
            <w:r>
              <w:rPr/>
              <w:t>(in thousands, except per share data)</w:t>
            </w:r>
          </w:p>
        </w:tc>
        <w:tc>
          <w:tcPr>
            <w:tcW w:w="1815"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vAlign w:val="center"/>
          </w:tcPr>
          <w:p>
            <w:pPr>
              <w:pStyle w:val="TableContents"/>
              <w:bidi w:val="0"/>
              <w:spacing w:before="0" w:after="283"/>
              <w:jc w:val="right"/>
              <w:rPr/>
            </w:pPr>
            <w:r>
              <w:rPr/>
              <w:t> </w:t>
            </w:r>
          </w:p>
        </w:tc>
        <w:tc>
          <w:tcPr>
            <w:tcW w:w="3821"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GAAP Results</w:t>
            </w:r>
          </w:p>
        </w:tc>
      </w:tr>
      <w:tr>
        <w:trPr/>
        <w:tc>
          <w:tcPr>
            <w:tcW w:w="4411" w:type="dxa"/>
            <w:tcBorders/>
            <w:vAlign w:val="center"/>
          </w:tcPr>
          <w:p>
            <w:pPr>
              <w:pStyle w:val="TableContents"/>
              <w:bidi w:val="0"/>
              <w:spacing w:before="0" w:after="283"/>
              <w:jc w:val="right"/>
              <w:rPr/>
            </w:pPr>
            <w:r>
              <w:rPr/>
              <w:t> </w:t>
            </w:r>
          </w:p>
        </w:tc>
        <w:tc>
          <w:tcPr>
            <w:tcW w:w="1815" w:type="dxa"/>
            <w:gridSpan w:val="3"/>
            <w:tcBorders/>
            <w:vAlign w:val="center"/>
          </w:tcPr>
          <w:p>
            <w:pPr>
              <w:pStyle w:val="TableContents"/>
              <w:bidi w:val="0"/>
              <w:spacing w:before="0" w:after="283"/>
              <w:jc w:val="center"/>
              <w:rPr/>
            </w:pPr>
            <w:r>
              <w:rPr>
                <w:rStyle w:val="StrongEmphasis"/>
              </w:rPr>
              <w:t>16 Weeks Ended</w:t>
            </w:r>
          </w:p>
        </w:tc>
        <w:tc>
          <w:tcPr>
            <w:tcW w:w="146" w:type="dxa"/>
            <w:tcBorders/>
            <w:vAlign w:val="center"/>
          </w:tcPr>
          <w:p>
            <w:pPr>
              <w:pStyle w:val="TableContents"/>
              <w:bidi w:val="0"/>
              <w:spacing w:before="0" w:after="283"/>
              <w:jc w:val="center"/>
              <w:rPr/>
            </w:pPr>
            <w:r>
              <w:rPr/>
              <w:t> </w:t>
            </w:r>
          </w:p>
        </w:tc>
        <w:tc>
          <w:tcPr>
            <w:tcW w:w="1860" w:type="dxa"/>
            <w:gridSpan w:val="3"/>
            <w:tcBorders/>
            <w:vAlign w:val="center"/>
          </w:tcPr>
          <w:p>
            <w:pPr>
              <w:pStyle w:val="TableContents"/>
              <w:bidi w:val="0"/>
              <w:spacing w:before="0" w:after="283"/>
              <w:jc w:val="center"/>
              <w:rPr/>
            </w:pPr>
            <w:r>
              <w:rPr>
                <w:rStyle w:val="StrongEmphasis"/>
              </w:rPr>
              <w:t>16 Weeks Ended</w:t>
            </w:r>
          </w:p>
        </w:tc>
      </w:tr>
      <w:tr>
        <w:trPr/>
        <w:tc>
          <w:tcPr>
            <w:tcW w:w="4411" w:type="dxa"/>
            <w:tcBorders/>
            <w:vAlign w:val="center"/>
          </w:tcPr>
          <w:p>
            <w:pPr>
              <w:pStyle w:val="TableContents"/>
              <w:bidi w:val="0"/>
              <w:spacing w:before="0" w:after="283"/>
              <w:jc w:val="right"/>
              <w:rPr/>
            </w:pPr>
            <w:r>
              <w:rPr/>
              <w:t> </w:t>
            </w:r>
          </w:p>
        </w:tc>
        <w:tc>
          <w:tcPr>
            <w:tcW w:w="1815"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46" w:type="dxa"/>
            <w:tcBorders/>
            <w:vAlign w:val="center"/>
          </w:tcPr>
          <w:p>
            <w:pPr>
              <w:pStyle w:val="TableContents"/>
              <w:bidi w:val="0"/>
              <w:spacing w:before="0" w:after="283"/>
              <w:jc w:val="center"/>
              <w:rPr/>
            </w:pPr>
            <w:r>
              <w:rPr/>
              <w:t> </w:t>
            </w:r>
          </w:p>
        </w:tc>
        <w:tc>
          <w:tcPr>
            <w:tcW w:w="186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r>
      <w:tr>
        <w:trPr/>
        <w:tc>
          <w:tcPr>
            <w:tcW w:w="4411" w:type="dxa"/>
            <w:tcBorders/>
            <w:vAlign w:val="center"/>
          </w:tcPr>
          <w:p>
            <w:pPr>
              <w:pStyle w:val="TableContents"/>
              <w:bidi w:val="0"/>
              <w:spacing w:before="0" w:after="283"/>
              <w:jc w:val="right"/>
              <w:rPr/>
            </w:pPr>
            <w:r>
              <w:rPr/>
              <w:t> </w:t>
            </w:r>
          </w:p>
        </w:tc>
        <w:tc>
          <w:tcPr>
            <w:tcW w:w="1815"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vAlign w:val="center"/>
          </w:tcPr>
          <w:p>
            <w:pPr>
              <w:pStyle w:val="TableContents"/>
              <w:bidi w:val="0"/>
              <w:spacing w:before="0" w:after="283"/>
              <w:jc w:val="left"/>
              <w:rPr/>
            </w:pPr>
            <w:r>
              <w:rPr/>
              <w:t>Net sales</w:t>
            </w:r>
          </w:p>
        </w:tc>
        <w:tc>
          <w:tcPr>
            <w:tcW w:w="257" w:type="dxa"/>
            <w:tcBorders/>
            <w:vAlign w:val="center"/>
          </w:tcPr>
          <w:p>
            <w:pPr>
              <w:pStyle w:val="TableContents"/>
              <w:bidi w:val="0"/>
              <w:spacing w:before="0" w:after="283"/>
              <w:jc w:val="right"/>
              <w:rPr/>
            </w:pPr>
            <w:r>
              <w:rPr/>
              <w:t>$</w:t>
            </w:r>
          </w:p>
        </w:tc>
        <w:tc>
          <w:tcPr>
            <w:tcW w:w="1352" w:type="dxa"/>
            <w:tcBorders/>
            <w:vAlign w:val="center"/>
          </w:tcPr>
          <w:p>
            <w:pPr>
              <w:pStyle w:val="TableContents"/>
              <w:bidi w:val="0"/>
              <w:spacing w:before="0" w:after="283"/>
              <w:jc w:val="right"/>
              <w:rPr/>
            </w:pPr>
            <w:r>
              <w:rPr/>
              <w:t>6,594,879</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w:t>
            </w:r>
          </w:p>
        </w:tc>
        <w:tc>
          <w:tcPr>
            <w:tcW w:w="1348" w:type="dxa"/>
            <w:tcBorders/>
            <w:vAlign w:val="center"/>
          </w:tcPr>
          <w:p>
            <w:pPr>
              <w:pStyle w:val="TableContents"/>
              <w:bidi w:val="0"/>
              <w:spacing w:before="0" w:after="283"/>
              <w:jc w:val="right"/>
              <w:rPr/>
            </w:pPr>
            <w:r>
              <w:rPr/>
              <w:t>6,242,726</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Cost of sales</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5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3,077,151</w:t>
            </w:r>
          </w:p>
        </w:tc>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3,026,233</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Gross profit</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3,517,728</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3,216,493</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Operating, SG&amp;A expenses</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5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2,200,811</w:t>
            </w:r>
          </w:p>
        </w:tc>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2,020,428</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Operating profit (EBIT)</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1,316,917</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1,196,065</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Interest expense, net</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5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148,684</w:t>
            </w:r>
          </w:p>
        </w:tc>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148,087</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Income before taxes</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1,168,233</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1,047,978</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Income tax expense</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5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236,646</w:t>
            </w:r>
          </w:p>
        </w:tc>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211,027</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Net income</w:t>
            </w:r>
          </w:p>
        </w:tc>
        <w:tc>
          <w:tcPr>
            <w:tcW w:w="2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5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931,587</w:t>
            </w:r>
          </w:p>
        </w:tc>
        <w:tc>
          <w:tcPr>
            <w:tcW w:w="2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836,951</w:t>
            </w:r>
          </w:p>
        </w:tc>
        <w:tc>
          <w:tcPr>
            <w:tcW w:w="25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Net income per share:</w:t>
            </w:r>
          </w:p>
        </w:tc>
        <w:tc>
          <w:tcPr>
            <w:tcW w:w="1815"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257" w:type="dxa"/>
            <w:tcBorders/>
            <w:vAlign w:val="center"/>
          </w:tcPr>
          <w:p>
            <w:pPr>
              <w:pStyle w:val="TableContents"/>
              <w:bidi w:val="0"/>
              <w:spacing w:before="0" w:after="283"/>
              <w:jc w:val="right"/>
              <w:rPr/>
            </w:pPr>
            <w:r>
              <w:rPr/>
              <w:t>$</w:t>
            </w:r>
          </w:p>
        </w:tc>
        <w:tc>
          <w:tcPr>
            <w:tcW w:w="1352" w:type="dxa"/>
            <w:tcBorders/>
            <w:vAlign w:val="center"/>
          </w:tcPr>
          <w:p>
            <w:pPr>
              <w:pStyle w:val="TableContents"/>
              <w:bidi w:val="0"/>
              <w:spacing w:before="0" w:after="283"/>
              <w:jc w:val="right"/>
              <w:rPr/>
            </w:pPr>
            <w:r>
              <w:rPr/>
              <w:t>57.17</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w:t>
            </w:r>
          </w:p>
        </w:tc>
        <w:tc>
          <w:tcPr>
            <w:tcW w:w="1348" w:type="dxa"/>
            <w:tcBorders/>
            <w:vAlign w:val="center"/>
          </w:tcPr>
          <w:p>
            <w:pPr>
              <w:pStyle w:val="TableContents"/>
              <w:bidi w:val="0"/>
              <w:spacing w:before="0" w:after="283"/>
              <w:jc w:val="right"/>
              <w:rPr/>
            </w:pPr>
            <w:r>
              <w:rPr/>
              <w:t>50.02</w:t>
            </w:r>
          </w:p>
        </w:tc>
        <w:tc>
          <w:tcPr>
            <w:tcW w:w="256" w:type="dxa"/>
            <w:tcBorders/>
            <w:vAlign w:val="center"/>
          </w:tcPr>
          <w:p>
            <w:pPr>
              <w:pStyle w:val="TableContents"/>
              <w:bidi w:val="0"/>
              <w:spacing w:before="0" w:after="283"/>
              <w:jc w:val="lef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257" w:type="dxa"/>
            <w:tcBorders/>
            <w:vAlign w:val="center"/>
          </w:tcPr>
          <w:p>
            <w:pPr>
              <w:pStyle w:val="TableContents"/>
              <w:bidi w:val="0"/>
              <w:spacing w:before="0" w:after="283"/>
              <w:jc w:val="right"/>
              <w:rPr/>
            </w:pPr>
            <w:r>
              <w:rPr/>
              <w:t>$</w:t>
            </w:r>
          </w:p>
        </w:tc>
        <w:tc>
          <w:tcPr>
            <w:tcW w:w="1352" w:type="dxa"/>
            <w:tcBorders/>
            <w:vAlign w:val="center"/>
          </w:tcPr>
          <w:p>
            <w:pPr>
              <w:pStyle w:val="TableContents"/>
              <w:bidi w:val="0"/>
              <w:spacing w:before="0" w:after="283"/>
              <w:jc w:val="right"/>
              <w:rPr/>
            </w:pPr>
            <w:r>
              <w:rPr/>
              <w:t>56.05</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w:t>
            </w:r>
          </w:p>
        </w:tc>
        <w:tc>
          <w:tcPr>
            <w:tcW w:w="1348" w:type="dxa"/>
            <w:tcBorders/>
            <w:vAlign w:val="center"/>
          </w:tcPr>
          <w:p>
            <w:pPr>
              <w:pStyle w:val="TableContents"/>
              <w:bidi w:val="0"/>
              <w:spacing w:before="0" w:after="283"/>
              <w:jc w:val="right"/>
              <w:rPr/>
            </w:pPr>
            <w:r>
              <w:rPr/>
              <w:t>48.71</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Weighted average shares outstanding:</w:t>
            </w:r>
          </w:p>
        </w:tc>
        <w:tc>
          <w:tcPr>
            <w:tcW w:w="1815"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16,294</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16,731</w:t>
            </w:r>
          </w:p>
        </w:tc>
        <w:tc>
          <w:tcPr>
            <w:tcW w:w="256" w:type="dxa"/>
            <w:tcBorders/>
            <w:vAlign w:val="center"/>
          </w:tcPr>
          <w:p>
            <w:pPr>
              <w:pStyle w:val="TableContents"/>
              <w:bidi w:val="0"/>
              <w:spacing w:before="0" w:after="283"/>
              <w:jc w:val="lef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16,620</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17,181</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right"/>
              <w:rPr/>
            </w:pPr>
            <w:r>
              <w:rPr/>
              <w:t> </w:t>
            </w:r>
          </w:p>
        </w:tc>
        <w:tc>
          <w:tcPr>
            <w:tcW w:w="1815"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vAlign w:val="center"/>
          </w:tcPr>
          <w:p>
            <w:pPr>
              <w:pStyle w:val="TableContents"/>
              <w:bidi w:val="0"/>
              <w:spacing w:before="0" w:after="283"/>
              <w:jc w:val="left"/>
              <w:rPr/>
            </w:pPr>
            <w:r>
              <w:rPr/>
              <w:t> </w:t>
            </w:r>
          </w:p>
        </w:tc>
        <w:tc>
          <w:tcPr>
            <w:tcW w:w="1815"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vAlign w:val="center"/>
          </w:tcPr>
          <w:p>
            <w:pPr>
              <w:pStyle w:val="TableContents"/>
              <w:bidi w:val="0"/>
              <w:spacing w:before="0" w:after="283"/>
              <w:jc w:val="left"/>
              <w:rPr/>
            </w:pPr>
            <w:r>
              <w:rPr>
                <w:rStyle w:val="StrongEmphasis"/>
              </w:rPr>
              <w:t>Fiscal Year 2026</w:t>
            </w:r>
          </w:p>
        </w:tc>
        <w:tc>
          <w:tcPr>
            <w:tcW w:w="1815"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vAlign w:val="center"/>
          </w:tcPr>
          <w:p>
            <w:pPr>
              <w:pStyle w:val="TableContents"/>
              <w:bidi w:val="0"/>
              <w:spacing w:before="0" w:after="283"/>
              <w:jc w:val="left"/>
              <w:rPr/>
            </w:pPr>
            <w:r>
              <w:rPr/>
              <w:t>(in thousands, except per share data)</w:t>
            </w:r>
          </w:p>
        </w:tc>
        <w:tc>
          <w:tcPr>
            <w:tcW w:w="1815"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vAlign w:val="center"/>
          </w:tcPr>
          <w:p>
            <w:pPr>
              <w:pStyle w:val="TableContents"/>
              <w:bidi w:val="0"/>
              <w:spacing w:before="0" w:after="283"/>
              <w:jc w:val="left"/>
              <w:rPr/>
            </w:pPr>
            <w:r>
              <w:rPr/>
              <w:t> </w:t>
            </w:r>
          </w:p>
        </w:tc>
        <w:tc>
          <w:tcPr>
            <w:tcW w:w="3821"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GAAP Results</w:t>
            </w:r>
          </w:p>
        </w:tc>
      </w:tr>
      <w:tr>
        <w:trPr/>
        <w:tc>
          <w:tcPr>
            <w:tcW w:w="4411" w:type="dxa"/>
            <w:tcBorders/>
            <w:vAlign w:val="center"/>
          </w:tcPr>
          <w:p>
            <w:pPr>
              <w:pStyle w:val="TableContents"/>
              <w:bidi w:val="0"/>
              <w:spacing w:before="0" w:after="283"/>
              <w:jc w:val="left"/>
              <w:rPr/>
            </w:pPr>
            <w:r>
              <w:rPr/>
              <w:t> </w:t>
            </w:r>
          </w:p>
        </w:tc>
        <w:tc>
          <w:tcPr>
            <w:tcW w:w="1815" w:type="dxa"/>
            <w:gridSpan w:val="3"/>
            <w:tcBorders/>
            <w:vAlign w:val="center"/>
          </w:tcPr>
          <w:p>
            <w:pPr>
              <w:pStyle w:val="TableContents"/>
              <w:bidi w:val="0"/>
              <w:spacing w:before="0" w:after="283"/>
              <w:jc w:val="center"/>
              <w:rPr/>
            </w:pPr>
            <w:r>
              <w:rPr>
                <w:rStyle w:val="StrongEmphasis"/>
              </w:rPr>
              <w:t>52 Weeks Ended</w:t>
            </w:r>
          </w:p>
        </w:tc>
        <w:tc>
          <w:tcPr>
            <w:tcW w:w="146" w:type="dxa"/>
            <w:tcBorders/>
            <w:vAlign w:val="center"/>
          </w:tcPr>
          <w:p>
            <w:pPr>
              <w:pStyle w:val="TableContents"/>
              <w:bidi w:val="0"/>
              <w:spacing w:before="0" w:after="283"/>
              <w:jc w:val="center"/>
              <w:rPr/>
            </w:pPr>
            <w:r>
              <w:rPr/>
              <w:t> </w:t>
            </w:r>
          </w:p>
        </w:tc>
        <w:tc>
          <w:tcPr>
            <w:tcW w:w="1860" w:type="dxa"/>
            <w:gridSpan w:val="3"/>
            <w:tcBorders/>
            <w:vAlign w:val="center"/>
          </w:tcPr>
          <w:p>
            <w:pPr>
              <w:pStyle w:val="TableContents"/>
              <w:bidi w:val="0"/>
              <w:spacing w:before="0" w:after="283"/>
              <w:jc w:val="center"/>
              <w:rPr/>
            </w:pPr>
            <w:r>
              <w:rPr>
                <w:rStyle w:val="StrongEmphasis"/>
              </w:rPr>
              <w:t>52 Weeks Ended</w:t>
            </w:r>
          </w:p>
        </w:tc>
      </w:tr>
      <w:tr>
        <w:trPr/>
        <w:tc>
          <w:tcPr>
            <w:tcW w:w="4411" w:type="dxa"/>
            <w:tcBorders/>
            <w:vAlign w:val="center"/>
          </w:tcPr>
          <w:p>
            <w:pPr>
              <w:pStyle w:val="TableContents"/>
              <w:bidi w:val="0"/>
              <w:spacing w:before="0" w:after="283"/>
              <w:jc w:val="left"/>
              <w:rPr/>
            </w:pPr>
            <w:r>
              <w:rPr/>
              <w:t> </w:t>
            </w:r>
          </w:p>
        </w:tc>
        <w:tc>
          <w:tcPr>
            <w:tcW w:w="1815"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46" w:type="dxa"/>
            <w:tcBorders/>
            <w:vAlign w:val="center"/>
          </w:tcPr>
          <w:p>
            <w:pPr>
              <w:pStyle w:val="TableContents"/>
              <w:bidi w:val="0"/>
              <w:spacing w:before="0" w:after="283"/>
              <w:jc w:val="center"/>
              <w:rPr/>
            </w:pPr>
            <w:r>
              <w:rPr/>
              <w:t> </w:t>
            </w:r>
          </w:p>
        </w:tc>
        <w:tc>
          <w:tcPr>
            <w:tcW w:w="186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r>
      <w:tr>
        <w:trPr/>
        <w:tc>
          <w:tcPr>
            <w:tcW w:w="4411" w:type="dxa"/>
            <w:tcBorders/>
            <w:vAlign w:val="center"/>
          </w:tcPr>
          <w:p>
            <w:pPr>
              <w:pStyle w:val="TableContents"/>
              <w:bidi w:val="0"/>
              <w:spacing w:before="0" w:after="283"/>
              <w:jc w:val="left"/>
              <w:rPr/>
            </w:pPr>
            <w:r>
              <w:rPr/>
              <w:t> </w:t>
            </w:r>
          </w:p>
        </w:tc>
        <w:tc>
          <w:tcPr>
            <w:tcW w:w="1815"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60" w:type="dxa"/>
            <w:gridSpan w:val="3"/>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Net sales</w:t>
            </w:r>
          </w:p>
        </w:tc>
        <w:tc>
          <w:tcPr>
            <w:tcW w:w="257" w:type="dxa"/>
            <w:tcBorders/>
            <w:vAlign w:val="center"/>
          </w:tcPr>
          <w:p>
            <w:pPr>
              <w:pStyle w:val="TableContents"/>
              <w:bidi w:val="0"/>
              <w:spacing w:before="0" w:after="283"/>
              <w:jc w:val="right"/>
              <w:rPr/>
            </w:pPr>
            <w:r>
              <w:rPr/>
              <w:t>$</w:t>
            </w:r>
          </w:p>
        </w:tc>
        <w:tc>
          <w:tcPr>
            <w:tcW w:w="1352" w:type="dxa"/>
            <w:tcBorders/>
            <w:vAlign w:val="center"/>
          </w:tcPr>
          <w:p>
            <w:pPr>
              <w:pStyle w:val="TableContents"/>
              <w:bidi w:val="0"/>
              <w:spacing w:before="0" w:after="283"/>
              <w:jc w:val="right"/>
              <w:rPr/>
            </w:pPr>
            <w:r>
              <w:rPr/>
              <w:t>20,338,555</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vAlign w:val="center"/>
          </w:tcPr>
          <w:p>
            <w:pPr>
              <w:pStyle w:val="TableContents"/>
              <w:bidi w:val="0"/>
              <w:spacing w:before="0" w:after="283"/>
              <w:jc w:val="right"/>
              <w:rPr/>
            </w:pPr>
            <w:r>
              <w:rPr/>
              <w:t>$</w:t>
            </w:r>
          </w:p>
        </w:tc>
        <w:tc>
          <w:tcPr>
            <w:tcW w:w="1348" w:type="dxa"/>
            <w:tcBorders/>
            <w:vAlign w:val="center"/>
          </w:tcPr>
          <w:p>
            <w:pPr>
              <w:pStyle w:val="TableContents"/>
              <w:bidi w:val="0"/>
              <w:spacing w:before="0" w:after="283"/>
              <w:jc w:val="right"/>
              <w:rPr/>
            </w:pPr>
            <w:r>
              <w:rPr/>
              <w:t>18,938,717</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Cost of sales</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5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9,693,581</w:t>
            </w:r>
          </w:p>
        </w:tc>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8,972,243</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Gross profit</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10,644,974</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9,966,474</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Operating, SG&amp;A expenses</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5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6,921,660</w:t>
            </w:r>
          </w:p>
        </w:tc>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6,356,318</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Operating profit (EBIT)</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3,723,314</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3,610,156</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Interest expense, net</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5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472,614</w:t>
            </w:r>
          </w:p>
        </w:tc>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475,824</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Income before taxes</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3,250,700</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3,134,332</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Income tax expense</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5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677,923</w:t>
            </w:r>
          </w:p>
        </w:tc>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636,085</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Net income</w:t>
            </w:r>
          </w:p>
        </w:tc>
        <w:tc>
          <w:tcPr>
            <w:tcW w:w="2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5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2,572,777</w:t>
            </w:r>
          </w:p>
        </w:tc>
        <w:tc>
          <w:tcPr>
            <w:tcW w:w="2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2,498,247</w:t>
            </w:r>
          </w:p>
        </w:tc>
        <w:tc>
          <w:tcPr>
            <w:tcW w:w="25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Net income per share:</w:t>
            </w:r>
          </w:p>
        </w:tc>
        <w:tc>
          <w:tcPr>
            <w:tcW w:w="1815"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257" w:type="dxa"/>
            <w:tcBorders/>
            <w:vAlign w:val="center"/>
          </w:tcPr>
          <w:p>
            <w:pPr>
              <w:pStyle w:val="TableContents"/>
              <w:bidi w:val="0"/>
              <w:spacing w:before="0" w:after="283"/>
              <w:jc w:val="right"/>
              <w:rPr/>
            </w:pPr>
            <w:r>
              <w:rPr/>
              <w:t>$</w:t>
            </w:r>
          </w:p>
        </w:tc>
        <w:tc>
          <w:tcPr>
            <w:tcW w:w="1352" w:type="dxa"/>
            <w:tcBorders/>
            <w:vAlign w:val="center"/>
          </w:tcPr>
          <w:p>
            <w:pPr>
              <w:pStyle w:val="TableContents"/>
              <w:bidi w:val="0"/>
              <w:spacing w:before="0" w:after="283"/>
              <w:jc w:val="right"/>
              <w:rPr/>
            </w:pPr>
            <w:r>
              <w:rPr/>
              <w:t>156.11</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vAlign w:val="center"/>
          </w:tcPr>
          <w:p>
            <w:pPr>
              <w:pStyle w:val="TableContents"/>
              <w:bidi w:val="0"/>
              <w:spacing w:before="0" w:after="283"/>
              <w:jc w:val="right"/>
              <w:rPr/>
            </w:pPr>
            <w:r>
              <w:rPr/>
              <w:t>$</w:t>
            </w:r>
          </w:p>
        </w:tc>
        <w:tc>
          <w:tcPr>
            <w:tcW w:w="1348" w:type="dxa"/>
            <w:tcBorders/>
            <w:vAlign w:val="center"/>
          </w:tcPr>
          <w:p>
            <w:pPr>
              <w:pStyle w:val="TableContents"/>
              <w:bidi w:val="0"/>
              <w:spacing w:before="0" w:after="283"/>
              <w:jc w:val="right"/>
              <w:rPr/>
            </w:pPr>
            <w:r>
              <w:rPr/>
              <w:t>148.80</w:t>
            </w:r>
          </w:p>
        </w:tc>
        <w:tc>
          <w:tcPr>
            <w:tcW w:w="256" w:type="dxa"/>
            <w:tcBorders/>
            <w:vAlign w:val="center"/>
          </w:tcPr>
          <w:p>
            <w:pPr>
              <w:pStyle w:val="TableContents"/>
              <w:bidi w:val="0"/>
              <w:spacing w:before="0" w:after="283"/>
              <w:jc w:val="lef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257" w:type="dxa"/>
            <w:tcBorders/>
            <w:vAlign w:val="center"/>
          </w:tcPr>
          <w:p>
            <w:pPr>
              <w:pStyle w:val="TableContents"/>
              <w:bidi w:val="0"/>
              <w:spacing w:before="0" w:after="283"/>
              <w:jc w:val="right"/>
              <w:rPr/>
            </w:pPr>
            <w:r>
              <w:rPr/>
              <w:t>$</w:t>
            </w:r>
          </w:p>
        </w:tc>
        <w:tc>
          <w:tcPr>
            <w:tcW w:w="1352" w:type="dxa"/>
            <w:tcBorders/>
            <w:vAlign w:val="center"/>
          </w:tcPr>
          <w:p>
            <w:pPr>
              <w:pStyle w:val="TableContents"/>
              <w:bidi w:val="0"/>
              <w:spacing w:before="0" w:after="283"/>
              <w:jc w:val="right"/>
              <w:rPr/>
            </w:pPr>
            <w:r>
              <w:rPr/>
              <w:t>152.55</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vAlign w:val="center"/>
          </w:tcPr>
          <w:p>
            <w:pPr>
              <w:pStyle w:val="TableContents"/>
              <w:bidi w:val="0"/>
              <w:spacing w:before="0" w:after="283"/>
              <w:jc w:val="right"/>
              <w:rPr/>
            </w:pPr>
            <w:r>
              <w:rPr/>
              <w:t>$</w:t>
            </w:r>
          </w:p>
        </w:tc>
        <w:tc>
          <w:tcPr>
            <w:tcW w:w="1348" w:type="dxa"/>
            <w:tcBorders/>
            <w:vAlign w:val="center"/>
          </w:tcPr>
          <w:p>
            <w:pPr>
              <w:pStyle w:val="TableContents"/>
              <w:bidi w:val="0"/>
              <w:spacing w:before="0" w:after="283"/>
              <w:jc w:val="right"/>
              <w:rPr/>
            </w:pPr>
            <w:r>
              <w:rPr/>
              <w:t>144.87</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Weighted average shares outstanding:</w:t>
            </w:r>
          </w:p>
        </w:tc>
        <w:tc>
          <w:tcPr>
            <w:tcW w:w="1815"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16,481</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16,789</w:t>
            </w:r>
          </w:p>
        </w:tc>
        <w:tc>
          <w:tcPr>
            <w:tcW w:w="256" w:type="dxa"/>
            <w:tcBorders/>
            <w:vAlign w:val="center"/>
          </w:tcPr>
          <w:p>
            <w:pPr>
              <w:pStyle w:val="TableContents"/>
              <w:bidi w:val="0"/>
              <w:spacing w:before="0" w:after="283"/>
              <w:jc w:val="lef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16,865</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17,245</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 </w:t>
            </w:r>
          </w:p>
        </w:tc>
        <w:tc>
          <w:tcPr>
            <w:tcW w:w="1815"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vAlign w:val="center"/>
          </w:tcPr>
          <w:p>
            <w:pPr>
              <w:pStyle w:val="TableContents"/>
              <w:bidi w:val="0"/>
              <w:spacing w:before="0" w:after="283"/>
              <w:jc w:val="left"/>
              <w:rPr/>
            </w:pPr>
            <w:r>
              <w:rPr/>
              <w:t> </w:t>
            </w:r>
          </w:p>
        </w:tc>
        <w:tc>
          <w:tcPr>
            <w:tcW w:w="1815"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vAlign w:val="center"/>
          </w:tcPr>
          <w:p>
            <w:pPr>
              <w:pStyle w:val="TableContents"/>
              <w:bidi w:val="0"/>
              <w:spacing w:before="0" w:after="283"/>
              <w:jc w:val="left"/>
              <w:rPr/>
            </w:pPr>
            <w:r>
              <w:rPr>
                <w:rStyle w:val="StrongEmphasis"/>
              </w:rPr>
              <w:t>Selected Balance Sheet Information</w:t>
            </w:r>
          </w:p>
        </w:tc>
        <w:tc>
          <w:tcPr>
            <w:tcW w:w="1815"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vAlign w:val="center"/>
          </w:tcPr>
          <w:p>
            <w:pPr>
              <w:pStyle w:val="TableContents"/>
              <w:bidi w:val="0"/>
              <w:spacing w:before="0" w:after="283"/>
              <w:jc w:val="left"/>
              <w:rPr/>
            </w:pPr>
            <w:r>
              <w:rPr/>
              <w:t>(in thousands)</w:t>
            </w:r>
          </w:p>
        </w:tc>
        <w:tc>
          <w:tcPr>
            <w:tcW w:w="1815"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4411" w:type="dxa"/>
            <w:tcBorders/>
            <w:vAlign w:val="center"/>
          </w:tcPr>
          <w:p>
            <w:pPr>
              <w:pStyle w:val="TableContents"/>
              <w:bidi w:val="0"/>
              <w:spacing w:before="0" w:after="283"/>
              <w:jc w:val="right"/>
              <w:rPr/>
            </w:pPr>
            <w:r>
              <w:rPr/>
              <w:t> </w:t>
            </w:r>
          </w:p>
        </w:tc>
        <w:tc>
          <w:tcPr>
            <w:tcW w:w="1815"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46" w:type="dxa"/>
            <w:tcBorders/>
            <w:vAlign w:val="center"/>
          </w:tcPr>
          <w:p>
            <w:pPr>
              <w:pStyle w:val="TableContents"/>
              <w:bidi w:val="0"/>
              <w:spacing w:before="0" w:after="283"/>
              <w:jc w:val="center"/>
              <w:rPr/>
            </w:pPr>
            <w:r>
              <w:rPr/>
              <w:t> </w:t>
            </w:r>
          </w:p>
        </w:tc>
        <w:tc>
          <w:tcPr>
            <w:tcW w:w="186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r>
      <w:tr>
        <w:trPr/>
        <w:tc>
          <w:tcPr>
            <w:tcW w:w="4411" w:type="dxa"/>
            <w:tcBorders/>
            <w:vAlign w:val="center"/>
          </w:tcPr>
          <w:p>
            <w:pPr>
              <w:pStyle w:val="TableContents"/>
              <w:bidi w:val="0"/>
              <w:spacing w:before="0" w:after="283"/>
              <w:jc w:val="right"/>
              <w:rPr/>
            </w:pPr>
            <w:r>
              <w:rPr/>
              <w:t> </w:t>
            </w:r>
          </w:p>
        </w:tc>
        <w:tc>
          <w:tcPr>
            <w:tcW w:w="1815"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860" w:type="dxa"/>
            <w:gridSpan w:val="3"/>
            <w:tcBorders/>
            <w:vAlign w:val="center"/>
          </w:tcPr>
          <w:p>
            <w:pPr>
              <w:pStyle w:val="TableContents"/>
              <w:bidi w:val="0"/>
              <w:spacing w:before="0" w:after="283"/>
              <w:jc w:val="center"/>
              <w:rPr/>
            </w:pPr>
            <w:r>
              <w:rPr/>
              <w:t> </w:t>
            </w:r>
          </w:p>
        </w:tc>
      </w:tr>
      <w:tr>
        <w:trPr/>
        <w:tc>
          <w:tcPr>
            <w:tcW w:w="4411" w:type="dxa"/>
            <w:tcBorders/>
            <w:vAlign w:val="center"/>
          </w:tcPr>
          <w:p>
            <w:pPr>
              <w:pStyle w:val="TableContents"/>
              <w:bidi w:val="0"/>
              <w:spacing w:before="0" w:after="283"/>
              <w:jc w:val="left"/>
              <w:rPr/>
            </w:pPr>
            <w:r>
              <w:rPr/>
              <w:t>Cash and cash equivalents</w:t>
            </w:r>
          </w:p>
        </w:tc>
        <w:tc>
          <w:tcPr>
            <w:tcW w:w="257" w:type="dxa"/>
            <w:tcBorders/>
            <w:vAlign w:val="center"/>
          </w:tcPr>
          <w:p>
            <w:pPr>
              <w:pStyle w:val="TableContents"/>
              <w:bidi w:val="0"/>
              <w:spacing w:before="0" w:after="283"/>
              <w:jc w:val="right"/>
              <w:rPr/>
            </w:pPr>
            <w:r>
              <w:rPr/>
              <w:t>$</w:t>
            </w:r>
          </w:p>
        </w:tc>
        <w:tc>
          <w:tcPr>
            <w:tcW w:w="1352" w:type="dxa"/>
            <w:tcBorders/>
            <w:vAlign w:val="center"/>
          </w:tcPr>
          <w:p>
            <w:pPr>
              <w:pStyle w:val="TableContents"/>
              <w:bidi w:val="0"/>
              <w:spacing w:before="0" w:after="283"/>
              <w:jc w:val="right"/>
              <w:rPr/>
            </w:pPr>
            <w:r>
              <w:rPr/>
              <w:t>326,115</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w:t>
            </w:r>
          </w:p>
        </w:tc>
        <w:tc>
          <w:tcPr>
            <w:tcW w:w="1348" w:type="dxa"/>
            <w:tcBorders/>
            <w:vAlign w:val="center"/>
          </w:tcPr>
          <w:p>
            <w:pPr>
              <w:pStyle w:val="TableContents"/>
              <w:bidi w:val="0"/>
              <w:spacing w:before="0" w:after="283"/>
              <w:jc w:val="right"/>
              <w:rPr/>
            </w:pPr>
            <w:r>
              <w:rPr/>
              <w:t>271,803</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Merchandise inventories</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7,735,560</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7,025,688</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Current assets</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9,106,134</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8,341,379</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Property and equipment, net</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8,056,120</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7,062,509</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Operating lease right-of-use assets</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3,470,379</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3,194,666</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Total assets</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21,630,510</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19,355,324</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Accounts payable</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8,596,585</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8,025,590</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Current liabilities</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10,106,530</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9,519,397</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Operating lease liabilities, less current portion</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3,369,119</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3,093,936</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Total Debt</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9,078,320</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8,799,775</w:t>
            </w:r>
          </w:p>
        </w:tc>
        <w:tc>
          <w:tcPr>
            <w:tcW w:w="256"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Stockholders' deficit</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(2,502,470</w:t>
            </w:r>
          </w:p>
        </w:tc>
        <w:tc>
          <w:tcPr>
            <w:tcW w:w="20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(3,414,313</w:t>
            </w:r>
          </w:p>
        </w:tc>
        <w:tc>
          <w:tcPr>
            <w:tcW w:w="256" w:type="dxa"/>
            <w:tcBorders/>
            <w:vAlign w:val="center"/>
          </w:tcPr>
          <w:p>
            <w:pPr>
              <w:pStyle w:val="TableContents"/>
              <w:bidi w:val="0"/>
              <w:spacing w:before="0" w:after="283"/>
              <w:jc w:val="left"/>
              <w:rPr/>
            </w:pPr>
            <w:r>
              <w:rPr/>
              <w:t>)</w:t>
            </w:r>
          </w:p>
        </w:tc>
      </w:tr>
      <w:tr>
        <w:trPr/>
        <w:tc>
          <w:tcPr>
            <w:tcW w:w="4411" w:type="dxa"/>
            <w:tcBorders/>
            <w:vAlign w:val="center"/>
          </w:tcPr>
          <w:p>
            <w:pPr>
              <w:pStyle w:val="TableContents"/>
              <w:bidi w:val="0"/>
              <w:spacing w:before="0" w:after="283"/>
              <w:jc w:val="left"/>
              <w:rPr/>
            </w:pPr>
            <w:r>
              <w:rPr/>
              <w:t>Working capital</w:t>
            </w:r>
          </w:p>
        </w:tc>
        <w:tc>
          <w:tcPr>
            <w:tcW w:w="257" w:type="dxa"/>
            <w:tcBorders/>
            <w:vAlign w:val="center"/>
          </w:tcPr>
          <w:p>
            <w:pPr>
              <w:pStyle w:val="TableContents"/>
              <w:bidi w:val="0"/>
              <w:spacing w:before="0" w:after="283"/>
              <w:jc w:val="right"/>
              <w:rPr/>
            </w:pPr>
            <w:r>
              <w:rPr/>
              <w:t> </w:t>
            </w:r>
          </w:p>
        </w:tc>
        <w:tc>
          <w:tcPr>
            <w:tcW w:w="1352" w:type="dxa"/>
            <w:tcBorders/>
            <w:vAlign w:val="center"/>
          </w:tcPr>
          <w:p>
            <w:pPr>
              <w:pStyle w:val="TableContents"/>
              <w:bidi w:val="0"/>
              <w:spacing w:before="0" w:after="283"/>
              <w:jc w:val="right"/>
              <w:rPr/>
            </w:pPr>
            <w:r>
              <w:rPr/>
              <w:t>(1,000,396</w:t>
            </w:r>
          </w:p>
        </w:tc>
        <w:tc>
          <w:tcPr>
            <w:tcW w:w="20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right"/>
              <w:rPr/>
            </w:pPr>
            <w:r>
              <w:rPr/>
              <w:t> </w:t>
            </w:r>
          </w:p>
        </w:tc>
        <w:tc>
          <w:tcPr>
            <w:tcW w:w="1348" w:type="dxa"/>
            <w:tcBorders/>
            <w:vAlign w:val="center"/>
          </w:tcPr>
          <w:p>
            <w:pPr>
              <w:pStyle w:val="TableContents"/>
              <w:bidi w:val="0"/>
              <w:spacing w:before="0" w:after="283"/>
              <w:jc w:val="right"/>
              <w:rPr/>
            </w:pPr>
            <w:r>
              <w:rPr/>
              <w:t>(1,178,018</w:t>
            </w:r>
          </w:p>
        </w:tc>
        <w:tc>
          <w:tcPr>
            <w:tcW w:w="256" w:type="dxa"/>
            <w:tcBorders/>
            <w:vAlign w:val="center"/>
          </w:tcPr>
          <w:p>
            <w:pPr>
              <w:pStyle w:val="TableContents"/>
              <w:bidi w:val="0"/>
              <w:spacing w:before="0" w:after="283"/>
              <w:jc w:val="left"/>
              <w:rPr/>
            </w:pPr>
            <w:r>
              <w:rPr/>
              <w:t>)</w:t>
            </w:r>
          </w:p>
        </w:tc>
      </w:tr>
      <w:tr>
        <w:trPr/>
        <w:tc>
          <w:tcPr>
            <w:tcW w:w="4411" w:type="dxa"/>
            <w:tcBorders/>
            <w:vAlign w:val="center"/>
          </w:tcPr>
          <w:p>
            <w:pPr>
              <w:pStyle w:val="TableContents"/>
              <w:bidi w:val="0"/>
              <w:spacing w:before="0" w:after="283"/>
              <w:jc w:val="left"/>
              <w:rPr/>
            </w:pPr>
            <w:r>
              <w:rPr/>
              <w:t> </w:t>
            </w:r>
          </w:p>
        </w:tc>
        <w:tc>
          <w:tcPr>
            <w:tcW w:w="1815"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60" w:type="dxa"/>
            <w:gridSpan w:val="3"/>
            <w:tcBorders/>
            <w:vAlign w:val="center"/>
          </w:tcPr>
          <w:p>
            <w:pPr>
              <w:pStyle w:val="TableContents"/>
              <w:bidi w:val="0"/>
              <w:spacing w:before="0" w:after="283"/>
              <w:jc w:val="righ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236"/>
        <w:gridCol w:w="248"/>
        <w:gridCol w:w="1302"/>
        <w:gridCol w:w="330"/>
        <w:gridCol w:w="159"/>
        <w:gridCol w:w="248"/>
        <w:gridCol w:w="1302"/>
        <w:gridCol w:w="330"/>
        <w:gridCol w:w="146"/>
        <w:gridCol w:w="236"/>
        <w:gridCol w:w="1118"/>
        <w:gridCol w:w="146"/>
        <w:gridCol w:w="236"/>
        <w:gridCol w:w="1168"/>
      </w:tblGrid>
      <w:tr>
        <w:trPr/>
        <w:tc>
          <w:tcPr>
            <w:tcW w:w="5275" w:type="dxa"/>
            <w:gridSpan w:val="5"/>
            <w:tcBorders/>
            <w:vAlign w:val="center"/>
          </w:tcPr>
          <w:p>
            <w:pPr>
              <w:pStyle w:val="TableContents"/>
              <w:bidi w:val="0"/>
              <w:spacing w:before="0" w:after="283"/>
              <w:jc w:val="left"/>
              <w:rPr/>
            </w:pPr>
            <w:r>
              <w:rPr>
                <w:rStyle w:val="StrongEmphasis"/>
              </w:rPr>
              <w:t>AutoZone's 4th Quarter Highlights - Fiscal 2026</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rStyle w:val="StrongEmphasis"/>
              </w:rPr>
              <w:t>Condensed Consolidated Statements of Operations</w:t>
            </w:r>
          </w:p>
        </w:tc>
        <w:tc>
          <w:tcPr>
            <w:tcW w:w="1880" w:type="dxa"/>
            <w:gridSpan w:val="3"/>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04" w:type="dxa"/>
            <w:gridSpan w:val="2"/>
            <w:tcBorders/>
            <w:vAlign w:val="center"/>
          </w:tcPr>
          <w:p>
            <w:pPr>
              <w:pStyle w:val="TableContents"/>
              <w:bidi w:val="0"/>
              <w:spacing w:before="0" w:after="283"/>
              <w:jc w:val="right"/>
              <w:rPr/>
            </w:pPr>
            <w:r>
              <w:rPr/>
              <w:t> </w:t>
            </w:r>
          </w:p>
        </w:tc>
      </w:tr>
      <w:tr>
        <w:trPr/>
        <w:tc>
          <w:tcPr>
            <w:tcW w:w="3236"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04" w:type="dxa"/>
            <w:gridSpan w:val="2"/>
            <w:tcBorders/>
            <w:vAlign w:val="center"/>
          </w:tcPr>
          <w:p>
            <w:pPr>
              <w:pStyle w:val="TableContents"/>
              <w:bidi w:val="0"/>
              <w:spacing w:before="0" w:after="283"/>
              <w:jc w:val="right"/>
              <w:rPr/>
            </w:pPr>
            <w:r>
              <w:rPr/>
              <w:t> </w:t>
            </w:r>
          </w:p>
        </w:tc>
      </w:tr>
      <w:tr>
        <w:trPr/>
        <w:tc>
          <w:tcPr>
            <w:tcW w:w="3236" w:type="dxa"/>
            <w:tcBorders/>
            <w:vAlign w:val="center"/>
          </w:tcPr>
          <w:p>
            <w:pPr>
              <w:pStyle w:val="TableContents"/>
              <w:bidi w:val="0"/>
              <w:spacing w:before="0" w:after="283"/>
              <w:jc w:val="left"/>
              <w:rPr/>
            </w:pPr>
            <w:r>
              <w:rPr>
                <w:rStyle w:val="StrongEmphasis"/>
                <w:u w:val="single"/>
              </w:rPr>
              <w:t>Adjusted Debt / EBITDAR</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04" w:type="dxa"/>
            <w:gridSpan w:val="2"/>
            <w:tcBorders/>
            <w:vAlign w:val="center"/>
          </w:tcPr>
          <w:p>
            <w:pPr>
              <w:pStyle w:val="TableContents"/>
              <w:bidi w:val="0"/>
              <w:spacing w:before="0" w:after="283"/>
              <w:jc w:val="right"/>
              <w:rPr/>
            </w:pPr>
            <w:r>
              <w:rPr/>
              <w:t> </w:t>
            </w:r>
          </w:p>
        </w:tc>
      </w:tr>
      <w:tr>
        <w:trPr/>
        <w:tc>
          <w:tcPr>
            <w:tcW w:w="3236" w:type="dxa"/>
            <w:tcBorders/>
            <w:vAlign w:val="center"/>
          </w:tcPr>
          <w:p>
            <w:pPr>
              <w:pStyle w:val="TableContents"/>
              <w:bidi w:val="0"/>
              <w:spacing w:before="0" w:after="283"/>
              <w:jc w:val="left"/>
              <w:rPr/>
            </w:pPr>
            <w:r>
              <w:rPr/>
              <w:t>(in thousands, except adjusted debt to EBITDAR ratio)</w:t>
            </w:r>
          </w:p>
        </w:tc>
        <w:tc>
          <w:tcPr>
            <w:tcW w:w="1880" w:type="dxa"/>
            <w:gridSpan w:val="3"/>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04" w:type="dxa"/>
            <w:gridSpan w:val="2"/>
            <w:tcBorders/>
            <w:vAlign w:val="center"/>
          </w:tcPr>
          <w:p>
            <w:pPr>
              <w:pStyle w:val="TableContents"/>
              <w:bidi w:val="0"/>
              <w:spacing w:before="0" w:after="283"/>
              <w:jc w:val="right"/>
              <w:rPr/>
            </w:pPr>
            <w:r>
              <w:rPr/>
              <w:t> </w:t>
            </w:r>
          </w:p>
        </w:tc>
      </w:tr>
      <w:tr>
        <w:trPr/>
        <w:tc>
          <w:tcPr>
            <w:tcW w:w="3236" w:type="dxa"/>
            <w:tcBorders/>
            <w:vAlign w:val="center"/>
          </w:tcPr>
          <w:p>
            <w:pPr>
              <w:pStyle w:val="TableContents"/>
              <w:bidi w:val="0"/>
              <w:spacing w:before="0" w:after="283"/>
              <w:jc w:val="right"/>
              <w:rPr/>
            </w:pPr>
            <w:r>
              <w:rPr/>
              <w:t> </w:t>
            </w:r>
          </w:p>
        </w:tc>
        <w:tc>
          <w:tcPr>
            <w:tcW w:w="3919" w:type="dxa"/>
            <w:gridSpan w:val="7"/>
            <w:tcBorders/>
            <w:vAlign w:val="center"/>
          </w:tcPr>
          <w:p>
            <w:pPr>
              <w:pStyle w:val="TableContents"/>
              <w:bidi w:val="0"/>
              <w:spacing w:before="0" w:after="283"/>
              <w:jc w:val="center"/>
              <w:rPr/>
            </w:pPr>
            <w:r>
              <w:rPr>
                <w:rStyle w:val="StrongEmphasis"/>
              </w:rPr>
              <w:t>52 Weeks Ended</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04" w:type="dxa"/>
            <w:gridSpan w:val="2"/>
            <w:tcBorders/>
            <w:vAlign w:val="center"/>
          </w:tcPr>
          <w:p>
            <w:pPr>
              <w:pStyle w:val="TableContents"/>
              <w:bidi w:val="0"/>
              <w:spacing w:before="0" w:after="283"/>
              <w:jc w:val="right"/>
              <w:rPr/>
            </w:pPr>
            <w:r>
              <w:rPr/>
              <w:t> </w:t>
            </w:r>
          </w:p>
        </w:tc>
      </w:tr>
      <w:tr>
        <w:trPr/>
        <w:tc>
          <w:tcPr>
            <w:tcW w:w="3236" w:type="dxa"/>
            <w:tcBorders/>
            <w:vAlign w:val="center"/>
          </w:tcPr>
          <w:p>
            <w:pPr>
              <w:pStyle w:val="TableContents"/>
              <w:bidi w:val="0"/>
              <w:spacing w:before="0" w:after="283"/>
              <w:jc w:val="left"/>
              <w:rPr/>
            </w:pPr>
            <w:r>
              <w:rPr/>
              <w:t> </w:t>
            </w:r>
          </w:p>
        </w:tc>
        <w:tc>
          <w:tcPr>
            <w:tcW w:w="188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59" w:type="dxa"/>
            <w:tcBorders/>
            <w:vAlign w:val="center"/>
          </w:tcPr>
          <w:p>
            <w:pPr>
              <w:pStyle w:val="TableContents"/>
              <w:bidi w:val="0"/>
              <w:spacing w:before="0" w:after="283"/>
              <w:jc w:val="center"/>
              <w:rPr/>
            </w:pPr>
            <w:r>
              <w:rPr/>
              <w:t> </w:t>
            </w:r>
          </w:p>
        </w:tc>
        <w:tc>
          <w:tcPr>
            <w:tcW w:w="188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04" w:type="dxa"/>
            <w:gridSpan w:val="2"/>
            <w:tcBorders/>
            <w:vAlign w:val="center"/>
          </w:tcPr>
          <w:p>
            <w:pPr>
              <w:pStyle w:val="TableContents"/>
              <w:bidi w:val="0"/>
              <w:spacing w:before="0" w:after="283"/>
              <w:jc w:val="right"/>
              <w:rPr/>
            </w:pPr>
            <w:r>
              <w:rPr/>
              <w:t> </w:t>
            </w:r>
          </w:p>
        </w:tc>
      </w:tr>
      <w:tr>
        <w:trPr/>
        <w:tc>
          <w:tcPr>
            <w:tcW w:w="3236" w:type="dxa"/>
            <w:tcBorders/>
            <w:vAlign w:val="center"/>
          </w:tcPr>
          <w:p>
            <w:pPr>
              <w:pStyle w:val="TableContents"/>
              <w:bidi w:val="0"/>
              <w:spacing w:before="0" w:after="283"/>
              <w:jc w:val="left"/>
              <w:rPr/>
            </w:pPr>
            <w:r>
              <w:rPr/>
              <w:t>Net income</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2,572,777</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2,498,247</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Add: Interest expense</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472,614</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475,824</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tcMar>
              <w:top w:w="0" w:type="dxa"/>
              <w:left w:w="0" w:type="dxa"/>
              <w:bottom w:w="0" w:type="dxa"/>
              <w:right w:w="0" w:type="dxa"/>
            </w:tcMar>
            <w:vAlign w:val="center"/>
          </w:tcPr>
          <w:p>
            <w:pPr>
              <w:pStyle w:val="TableContents"/>
              <w:bidi w:val="0"/>
              <w:spacing w:before="0" w:after="283"/>
              <w:jc w:val="left"/>
              <w:rPr/>
            </w:pPr>
            <w:r>
              <w:rPr/>
              <w:t>Income tax expense</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677,923</w:t>
            </w:r>
          </w:p>
        </w:tc>
        <w:tc>
          <w:tcPr>
            <w:tcW w:w="3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636,085</w:t>
            </w:r>
          </w:p>
        </w:tc>
        <w:tc>
          <w:tcPr>
            <w:tcW w:w="3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EBIT</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3,723,314</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3,610,156</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Add: Depreciation and amortization</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684,265</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613,199</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tcMar>
              <w:top w:w="0" w:type="dxa"/>
              <w:left w:w="0" w:type="dxa"/>
              <w:bottom w:w="0" w:type="dxa"/>
              <w:right w:w="0" w:type="dxa"/>
            </w:tcMar>
            <w:vAlign w:val="center"/>
          </w:tcPr>
          <w:p>
            <w:pPr>
              <w:pStyle w:val="TableContents"/>
              <w:bidi w:val="0"/>
              <w:spacing w:before="0" w:after="283"/>
              <w:jc w:val="left"/>
              <w:rPr/>
            </w:pPr>
            <w:r>
              <w:rPr/>
              <w:t>Rent expense</w:t>
            </w:r>
            <w:r>
              <w:rPr>
                <w:position w:val="8"/>
                <w:sz w:val="19"/>
              </w:rPr>
              <w:t>(1)</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500,020</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463,031</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tcMar>
              <w:top w:w="0" w:type="dxa"/>
              <w:left w:w="0" w:type="dxa"/>
              <w:bottom w:w="0" w:type="dxa"/>
              <w:right w:w="0" w:type="dxa"/>
            </w:tcMar>
            <w:vAlign w:val="center"/>
          </w:tcPr>
          <w:p>
            <w:pPr>
              <w:pStyle w:val="TableContents"/>
              <w:bidi w:val="0"/>
              <w:spacing w:before="0" w:after="283"/>
              <w:jc w:val="left"/>
              <w:rPr/>
            </w:pPr>
            <w:r>
              <w:rPr/>
              <w:t>Share-based expense</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136,804</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124,717</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EBITDAR</w:t>
            </w:r>
          </w:p>
        </w:tc>
        <w:tc>
          <w:tcPr>
            <w:tcW w:w="2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5,044,403</w:t>
            </w:r>
          </w:p>
        </w:tc>
        <w:tc>
          <w:tcPr>
            <w:tcW w:w="3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4,811,103</w:t>
            </w:r>
          </w:p>
        </w:tc>
        <w:tc>
          <w:tcPr>
            <w:tcW w:w="3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Debt</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9,078,320</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8,799,775</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Financing lease liabilities</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417,328</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399,940</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Add: Rent x 6</w:t>
            </w:r>
            <w:r>
              <w:rPr>
                <w:position w:val="8"/>
                <w:sz w:val="19"/>
              </w:rPr>
              <w:t>(1)</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3,000,120</w:t>
            </w:r>
          </w:p>
        </w:tc>
        <w:tc>
          <w:tcPr>
            <w:tcW w:w="3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2,778,186</w:t>
            </w:r>
          </w:p>
        </w:tc>
        <w:tc>
          <w:tcPr>
            <w:tcW w:w="3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Adjusted debt</w:t>
            </w:r>
          </w:p>
        </w:tc>
        <w:tc>
          <w:tcPr>
            <w:tcW w:w="24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30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12,495,768</w:t>
            </w:r>
          </w:p>
        </w:tc>
        <w:tc>
          <w:tcPr>
            <w:tcW w:w="33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30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11,977,901</w:t>
            </w:r>
          </w:p>
        </w:tc>
        <w:tc>
          <w:tcPr>
            <w:tcW w:w="33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rStyle w:val="StrongEmphasis"/>
              </w:rPr>
              <w:t>Adjusted debt to EBITDAR</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2.5</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2.5</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rStyle w:val="StrongEmphasis"/>
                <w:u w:val="single"/>
              </w:rPr>
              <w:t>Adjusted Return on Invested Capital (ROIC)</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(in thousands, except ROIC)</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right"/>
              <w:rPr/>
            </w:pPr>
            <w:r>
              <w:rPr/>
              <w:t> </w:t>
            </w:r>
          </w:p>
        </w:tc>
        <w:tc>
          <w:tcPr>
            <w:tcW w:w="3919" w:type="dxa"/>
            <w:gridSpan w:val="7"/>
            <w:tcBorders/>
            <w:vAlign w:val="center"/>
          </w:tcPr>
          <w:p>
            <w:pPr>
              <w:pStyle w:val="TableContents"/>
              <w:bidi w:val="0"/>
              <w:spacing w:before="0" w:after="283"/>
              <w:jc w:val="center"/>
              <w:rPr/>
            </w:pPr>
            <w:r>
              <w:rPr>
                <w:rStyle w:val="StrongEmphasis"/>
              </w:rPr>
              <w:t>52 Weeks Ended</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right"/>
              <w:rPr/>
            </w:pPr>
            <w:r>
              <w:rPr/>
              <w:t> </w:t>
            </w:r>
          </w:p>
        </w:tc>
        <w:tc>
          <w:tcPr>
            <w:tcW w:w="188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59" w:type="dxa"/>
            <w:tcBorders/>
            <w:vAlign w:val="center"/>
          </w:tcPr>
          <w:p>
            <w:pPr>
              <w:pStyle w:val="TableContents"/>
              <w:bidi w:val="0"/>
              <w:spacing w:before="0" w:after="283"/>
              <w:jc w:val="center"/>
              <w:rPr/>
            </w:pPr>
            <w:r>
              <w:rPr/>
              <w:t> </w:t>
            </w:r>
          </w:p>
        </w:tc>
        <w:tc>
          <w:tcPr>
            <w:tcW w:w="188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Net income</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2,572,777</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center"/>
              <w:rPr/>
            </w:pPr>
            <w:r>
              <w:rPr/>
              <w:t> </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2,498,247</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Adjustments:</w:t>
            </w:r>
          </w:p>
        </w:tc>
        <w:tc>
          <w:tcPr>
            <w:tcW w:w="1880" w:type="dxa"/>
            <w:gridSpan w:val="3"/>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center"/>
              <w:rPr/>
            </w:pPr>
            <w:r>
              <w:rPr/>
              <w:t> </w:t>
            </w:r>
          </w:p>
        </w:tc>
        <w:tc>
          <w:tcPr>
            <w:tcW w:w="188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472,614</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center"/>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475,824</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tcMar>
              <w:top w:w="0" w:type="dxa"/>
              <w:left w:w="0" w:type="dxa"/>
              <w:bottom w:w="0" w:type="dxa"/>
              <w:right w:w="0" w:type="dxa"/>
            </w:tcMar>
            <w:vAlign w:val="center"/>
          </w:tcPr>
          <w:p>
            <w:pPr>
              <w:pStyle w:val="TableContents"/>
              <w:bidi w:val="0"/>
              <w:spacing w:before="0" w:after="283"/>
              <w:jc w:val="left"/>
              <w:rPr/>
            </w:pPr>
            <w:r>
              <w:rPr/>
              <w:t>Rent expense</w:t>
            </w:r>
            <w:r>
              <w:rPr>
                <w:position w:val="8"/>
                <w:sz w:val="19"/>
              </w:rPr>
              <w:t>(1)</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500,020</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center"/>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463,031</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tcMar>
              <w:top w:w="0" w:type="dxa"/>
              <w:left w:w="0" w:type="dxa"/>
              <w:bottom w:w="0" w:type="dxa"/>
              <w:right w:w="0" w:type="dxa"/>
            </w:tcMar>
            <w:vAlign w:val="center"/>
          </w:tcPr>
          <w:p>
            <w:pPr>
              <w:pStyle w:val="TableContents"/>
              <w:bidi w:val="0"/>
              <w:spacing w:before="0" w:after="283"/>
              <w:jc w:val="left"/>
              <w:rPr/>
            </w:pPr>
            <w:r>
              <w:rPr/>
              <w:t>Tax effect</w:t>
            </w:r>
            <w:r>
              <w:rPr>
                <w:position w:val="8"/>
                <w:sz w:val="19"/>
              </w:rPr>
              <w:t>(2)</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(203,281</w:t>
            </w:r>
          </w:p>
        </w:tc>
        <w:tc>
          <w:tcPr>
            <w:tcW w:w="330"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center"/>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(190,588</w:t>
            </w:r>
          </w:p>
        </w:tc>
        <w:tc>
          <w:tcPr>
            <w:tcW w:w="3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Adjusted after-tax return</w:t>
            </w:r>
          </w:p>
        </w:tc>
        <w:tc>
          <w:tcPr>
            <w:tcW w:w="2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3,342,130</w:t>
            </w:r>
          </w:p>
        </w:tc>
        <w:tc>
          <w:tcPr>
            <w:tcW w:w="3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center"/>
              <w:rPr/>
            </w:pPr>
            <w:r>
              <w:rPr/>
              <w:t> </w:t>
            </w:r>
          </w:p>
        </w:tc>
        <w:tc>
          <w:tcPr>
            <w:tcW w:w="2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3,246,514</w:t>
            </w:r>
          </w:p>
        </w:tc>
        <w:tc>
          <w:tcPr>
            <w:tcW w:w="3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center"/>
              <w:rPr/>
            </w:pPr>
            <w:r>
              <w:rPr/>
              <w:t> </w:t>
            </w:r>
          </w:p>
        </w:tc>
        <w:tc>
          <w:tcPr>
            <w:tcW w:w="188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Average debt</w:t>
            </w:r>
            <w:r>
              <w:rPr>
                <w:position w:val="8"/>
                <w:sz w:val="19"/>
              </w:rPr>
              <w:t>(3)</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8,884,947</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center"/>
              <w:rPr/>
            </w:pPr>
            <w:r>
              <w:rPr/>
              <w:t> </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8,948,381</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Average stockholders' deficit</w:t>
            </w:r>
            <w:r>
              <w:rPr>
                <w:position w:val="8"/>
                <w:sz w:val="19"/>
              </w:rPr>
              <w:t>(3)</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(2,967,742</w:t>
            </w:r>
          </w:p>
        </w:tc>
        <w:tc>
          <w:tcPr>
            <w:tcW w:w="330"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center"/>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(4,253,805</w:t>
            </w:r>
          </w:p>
        </w:tc>
        <w:tc>
          <w:tcPr>
            <w:tcW w:w="3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Add: Rent x 6</w:t>
            </w:r>
            <w:r>
              <w:rPr>
                <w:position w:val="8"/>
                <w:sz w:val="19"/>
              </w:rPr>
              <w:t>(1)</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3,000,120</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center"/>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2,778,186</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Average financing lease liabilities</w:t>
            </w:r>
            <w:r>
              <w:rPr>
                <w:position w:val="8"/>
                <w:sz w:val="19"/>
              </w:rPr>
              <w:t>(3)</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415,701</w:t>
            </w:r>
          </w:p>
        </w:tc>
        <w:tc>
          <w:tcPr>
            <w:tcW w:w="3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center"/>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396,323</w:t>
            </w:r>
          </w:p>
        </w:tc>
        <w:tc>
          <w:tcPr>
            <w:tcW w:w="3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Invested capital</w:t>
            </w:r>
          </w:p>
        </w:tc>
        <w:tc>
          <w:tcPr>
            <w:tcW w:w="2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9,333,026</w:t>
            </w:r>
          </w:p>
        </w:tc>
        <w:tc>
          <w:tcPr>
            <w:tcW w:w="3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center"/>
              <w:rPr/>
            </w:pPr>
            <w:r>
              <w:rPr/>
              <w:t> </w:t>
            </w:r>
          </w:p>
        </w:tc>
        <w:tc>
          <w:tcPr>
            <w:tcW w:w="2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7,869,085</w:t>
            </w:r>
          </w:p>
        </w:tc>
        <w:tc>
          <w:tcPr>
            <w:tcW w:w="3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rStyle w:val="StrongEmphasis"/>
              </w:rPr>
              <w:t>Adjusted After-Tax ROIC</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35.8</w:t>
            </w:r>
          </w:p>
        </w:tc>
        <w:tc>
          <w:tcPr>
            <w:tcW w:w="330"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41.3</w:t>
            </w:r>
          </w:p>
        </w:tc>
        <w:tc>
          <w:tcPr>
            <w:tcW w:w="3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7155" w:type="dxa"/>
            <w:gridSpan w:val="8"/>
            <w:vMerge w:val="restart"/>
            <w:tcBorders/>
            <w:vAlign w:val="center"/>
          </w:tcPr>
          <w:p>
            <w:pPr>
              <w:pStyle w:val="TableContents"/>
              <w:bidi w:val="0"/>
              <w:spacing w:before="0" w:after="283"/>
              <w:jc w:val="left"/>
              <w:rPr/>
            </w:pPr>
            <w:r>
              <w:rPr>
                <w:rStyle w:val="Emphasis"/>
                <w:position w:val="8"/>
                <w:sz w:val="19"/>
              </w:rPr>
              <w:t>(1)</w:t>
            </w:r>
            <w:r>
              <w:rPr>
                <w:rStyle w:val="Emphasis"/>
              </w:rPr>
              <w:t>The table below outlines the calculation of rent expense and reconciles rent expense to total lease cost, per ASC 842, the most directly comparable GAAP financial measure, for the 52 weeks ended August 29, 2026, and August 30, 2025.</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7155" w:type="dxa"/>
            <w:gridSpan w:val="8"/>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right"/>
              <w:rPr/>
            </w:pPr>
            <w:r>
              <w:rPr/>
              <w:t> </w:t>
            </w:r>
          </w:p>
        </w:tc>
        <w:tc>
          <w:tcPr>
            <w:tcW w:w="3919" w:type="dxa"/>
            <w:gridSpan w:val="7"/>
            <w:tcBorders/>
            <w:vAlign w:val="center"/>
          </w:tcPr>
          <w:p>
            <w:pPr>
              <w:pStyle w:val="TableContents"/>
              <w:bidi w:val="0"/>
              <w:spacing w:before="0" w:after="283"/>
              <w:jc w:val="center"/>
              <w:rPr/>
            </w:pPr>
            <w:r>
              <w:rPr>
                <w:rStyle w:val="StrongEmphasis"/>
              </w:rPr>
              <w:t>52 Weeks Ended</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(in thousands)</w:t>
            </w:r>
          </w:p>
        </w:tc>
        <w:tc>
          <w:tcPr>
            <w:tcW w:w="188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59" w:type="dxa"/>
            <w:tcBorders/>
            <w:vAlign w:val="center"/>
          </w:tcPr>
          <w:p>
            <w:pPr>
              <w:pStyle w:val="TableContents"/>
              <w:bidi w:val="0"/>
              <w:spacing w:before="0" w:after="283"/>
              <w:jc w:val="center"/>
              <w:rPr/>
            </w:pPr>
            <w:r>
              <w:rPr/>
              <w:t> </w:t>
            </w:r>
          </w:p>
        </w:tc>
        <w:tc>
          <w:tcPr>
            <w:tcW w:w="188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Total lease cost, per ASC 842</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673,134</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626,625</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Less: Financing lease interest and amortization</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(125,127</w:t>
            </w:r>
          </w:p>
        </w:tc>
        <w:tc>
          <w:tcPr>
            <w:tcW w:w="330"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(119,801</w:t>
            </w:r>
          </w:p>
        </w:tc>
        <w:tc>
          <w:tcPr>
            <w:tcW w:w="3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vMerge w:val="restart"/>
            <w:tcBorders/>
            <w:vAlign w:val="center"/>
          </w:tcPr>
          <w:p>
            <w:pPr>
              <w:pStyle w:val="TableContents"/>
              <w:bidi w:val="0"/>
              <w:spacing w:before="0" w:after="283"/>
              <w:jc w:val="left"/>
              <w:rPr/>
            </w:pPr>
            <w:r>
              <w:rPr/>
              <w:t>Less: Variable operating lease components, related to insurance and common area maintenance</w:t>
            </w:r>
          </w:p>
        </w:tc>
        <w:tc>
          <w:tcPr>
            <w:tcW w:w="248" w:type="dxa"/>
            <w:vMerge w:val="restart"/>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2" w:type="dxa"/>
            <w:vMerge w:val="restart"/>
            <w:tcBorders>
              <w:bottom w:val="single" w:sz="8" w:space="0" w:color="000000"/>
            </w:tcBorders>
            <w:tcMar>
              <w:top w:w="0" w:type="dxa"/>
              <w:left w:w="0" w:type="dxa"/>
              <w:right w:w="0" w:type="dxa"/>
            </w:tcMar>
            <w:vAlign w:val="center"/>
          </w:tcPr>
          <w:p>
            <w:pPr>
              <w:pStyle w:val="TableContents"/>
              <w:bidi w:val="0"/>
              <w:spacing w:before="0" w:after="283"/>
              <w:jc w:val="right"/>
              <w:rPr/>
            </w:pPr>
            <w:r>
              <w:rPr/>
              <w:t>(47,987</w:t>
            </w:r>
          </w:p>
        </w:tc>
        <w:tc>
          <w:tcPr>
            <w:tcW w:w="330" w:type="dxa"/>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right"/>
              <w:rPr/>
            </w:pPr>
            <w:r>
              <w:rPr/>
              <w:t> </w:t>
            </w:r>
          </w:p>
        </w:tc>
        <w:tc>
          <w:tcPr>
            <w:tcW w:w="248" w:type="dxa"/>
            <w:vMerge w:val="restart"/>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2" w:type="dxa"/>
            <w:vMerge w:val="restart"/>
            <w:tcBorders>
              <w:bottom w:val="single" w:sz="8" w:space="0" w:color="000000"/>
            </w:tcBorders>
            <w:tcMar>
              <w:top w:w="0" w:type="dxa"/>
              <w:left w:w="0" w:type="dxa"/>
              <w:right w:w="0" w:type="dxa"/>
            </w:tcMar>
            <w:vAlign w:val="center"/>
          </w:tcPr>
          <w:p>
            <w:pPr>
              <w:pStyle w:val="TableContents"/>
              <w:bidi w:val="0"/>
              <w:spacing w:before="0" w:after="283"/>
              <w:jc w:val="right"/>
              <w:rPr/>
            </w:pPr>
            <w:r>
              <w:rPr/>
              <w:t>(43,793</w:t>
            </w:r>
          </w:p>
        </w:tc>
        <w:tc>
          <w:tcPr>
            <w:tcW w:w="330" w:type="dxa"/>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vMerge w:val="continue"/>
            <w:tcBorders/>
            <w:vAlign w:val="center"/>
          </w:tcPr>
          <w:p>
            <w:pPr>
              <w:pStyle w:val="Normal"/>
              <w:bidi w:val="0"/>
              <w:jc w:val="left"/>
              <w:rPr/>
            </w:pPr>
            <w:r>
              <w:rPr/>
            </w:r>
          </w:p>
        </w:tc>
        <w:tc>
          <w:tcPr>
            <w:tcW w:w="248"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302"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330"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right"/>
              <w:rPr/>
            </w:pPr>
            <w:r>
              <w:rPr/>
              <w:t> </w:t>
            </w:r>
          </w:p>
        </w:tc>
        <w:tc>
          <w:tcPr>
            <w:tcW w:w="248"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302"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330"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Rent expense</w:t>
            </w:r>
          </w:p>
        </w:tc>
        <w:tc>
          <w:tcPr>
            <w:tcW w:w="2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500,020</w:t>
            </w:r>
          </w:p>
        </w:tc>
        <w:tc>
          <w:tcPr>
            <w:tcW w:w="3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463,031</w:t>
            </w:r>
          </w:p>
        </w:tc>
        <w:tc>
          <w:tcPr>
            <w:tcW w:w="3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7155" w:type="dxa"/>
            <w:gridSpan w:val="8"/>
            <w:tcBorders/>
            <w:vAlign w:val="center"/>
          </w:tcPr>
          <w:p>
            <w:pPr>
              <w:pStyle w:val="TableContents"/>
              <w:bidi w:val="0"/>
              <w:spacing w:before="0" w:after="283"/>
              <w:jc w:val="left"/>
              <w:rPr/>
            </w:pPr>
            <w:r>
              <w:rPr>
                <w:rStyle w:val="Emphasis"/>
                <w:position w:val="8"/>
                <w:sz w:val="19"/>
              </w:rPr>
              <w:t>(2)</w:t>
            </w:r>
            <w:r>
              <w:rPr>
                <w:rStyle w:val="Emphasis"/>
              </w:rPr>
              <w:t>Effective tax rate for fiscal 2026 and 2025 was 20.9% and 20.3%, respectively.</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7155" w:type="dxa"/>
            <w:gridSpan w:val="8"/>
            <w:tcBorders/>
            <w:vAlign w:val="center"/>
          </w:tcPr>
          <w:p>
            <w:pPr>
              <w:pStyle w:val="TableContents"/>
              <w:bidi w:val="0"/>
              <w:spacing w:before="0" w:after="283"/>
              <w:jc w:val="left"/>
              <w:rPr/>
            </w:pPr>
            <w:r>
              <w:rPr>
                <w:rStyle w:val="Emphasis"/>
                <w:position w:val="8"/>
                <w:sz w:val="19"/>
              </w:rPr>
              <w:t>(3)</w:t>
            </w:r>
            <w:r>
              <w:rPr>
                <w:rStyle w:val="Emphasis"/>
              </w:rPr>
              <w:t>All averages are computed based on trailing five quarter balances.</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rStyle w:val="StrongEmphasis"/>
              </w:rPr>
              <w:t>Other Selected Financial Information</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(in thousands)</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 </w:t>
            </w:r>
          </w:p>
        </w:tc>
        <w:tc>
          <w:tcPr>
            <w:tcW w:w="188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59" w:type="dxa"/>
            <w:tcBorders/>
            <w:vAlign w:val="center"/>
          </w:tcPr>
          <w:p>
            <w:pPr>
              <w:pStyle w:val="TableContents"/>
              <w:bidi w:val="0"/>
              <w:spacing w:before="0" w:after="283"/>
              <w:jc w:val="center"/>
              <w:rPr/>
            </w:pPr>
            <w:r>
              <w:rPr/>
              <w:t> </w:t>
            </w:r>
          </w:p>
        </w:tc>
        <w:tc>
          <w:tcPr>
            <w:tcW w:w="188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Cumulative share repurchases ($ since fiscal 1998)</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40,543,302</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38,517,689</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Remaining share repurchase authorization ($)</w:t>
            </w:r>
          </w:p>
        </w:tc>
        <w:tc>
          <w:tcPr>
            <w:tcW w:w="248" w:type="dxa"/>
            <w:tcBorders/>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1,606,698</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632,311</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Cumulative share repurchases (shares since fiscal 1998)</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156,208</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155,629</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Shares outstanding, end of quarter</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16,173</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16,665</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center"/>
              <w:rPr/>
            </w:pPr>
            <w:r>
              <w:rPr>
                <w:rStyle w:val="StrongEmphasis"/>
              </w:rPr>
              <w:t>16 Weeks Ended</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center"/>
              <w:rPr/>
            </w:pPr>
            <w:r>
              <w:rPr>
                <w:rStyle w:val="StrongEmphasis"/>
              </w:rPr>
              <w:t>16 Weeks Ended</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center"/>
              <w:rPr/>
            </w:pPr>
            <w:r>
              <w:rPr>
                <w:rStyle w:val="StrongEmphasis"/>
              </w:rPr>
              <w:t>52 Weeks Ended</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center"/>
              <w:rPr/>
            </w:pPr>
            <w:r>
              <w:rPr>
                <w:rStyle w:val="StrongEmphasis"/>
              </w:rPr>
              <w:t>52 Weeks Ended</w:t>
            </w:r>
          </w:p>
        </w:tc>
      </w:tr>
      <w:tr>
        <w:trPr/>
        <w:tc>
          <w:tcPr>
            <w:tcW w:w="3236" w:type="dxa"/>
            <w:tcBorders/>
            <w:vAlign w:val="center"/>
          </w:tcPr>
          <w:p>
            <w:pPr>
              <w:pStyle w:val="TableContents"/>
              <w:bidi w:val="0"/>
              <w:spacing w:before="0" w:after="283"/>
              <w:jc w:val="right"/>
              <w:rPr/>
            </w:pPr>
            <w:r>
              <w:rPr/>
              <w:t> </w:t>
            </w:r>
          </w:p>
        </w:tc>
        <w:tc>
          <w:tcPr>
            <w:tcW w:w="188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59" w:type="dxa"/>
            <w:tcBorders/>
            <w:vAlign w:val="center"/>
          </w:tcPr>
          <w:p>
            <w:pPr>
              <w:pStyle w:val="TableContents"/>
              <w:bidi w:val="0"/>
              <w:spacing w:before="0" w:after="283"/>
              <w:jc w:val="left"/>
              <w:rPr/>
            </w:pPr>
            <w:r>
              <w:rPr/>
              <w:t> </w:t>
            </w:r>
          </w:p>
        </w:tc>
        <w:tc>
          <w:tcPr>
            <w:tcW w:w="188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c>
          <w:tcPr>
            <w:tcW w:w="146" w:type="dxa"/>
            <w:tcBorders/>
            <w:vAlign w:val="center"/>
          </w:tcPr>
          <w:p>
            <w:pPr>
              <w:pStyle w:val="TableContents"/>
              <w:bidi w:val="0"/>
              <w:spacing w:before="0" w:after="283"/>
              <w:jc w:val="right"/>
              <w:rPr/>
            </w:pPr>
            <w:r>
              <w:rPr/>
              <w:t> </w:t>
            </w:r>
          </w:p>
        </w:tc>
        <w:tc>
          <w:tcPr>
            <w:tcW w:w="135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46" w:type="dxa"/>
            <w:tcBorders/>
            <w:vAlign w:val="center"/>
          </w:tcPr>
          <w:p>
            <w:pPr>
              <w:pStyle w:val="TableContents"/>
              <w:bidi w:val="0"/>
              <w:spacing w:before="0" w:after="283"/>
              <w:jc w:val="left"/>
              <w:rPr/>
            </w:pPr>
            <w:r>
              <w:rPr/>
              <w:t> </w:t>
            </w:r>
          </w:p>
        </w:tc>
        <w:tc>
          <w:tcPr>
            <w:tcW w:w="140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r>
      <w:tr>
        <w:trPr/>
        <w:tc>
          <w:tcPr>
            <w:tcW w:w="3236"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Depreciation and amortization</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220,139</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197,412</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36" w:type="dxa"/>
            <w:tcBorders/>
            <w:vAlign w:val="center"/>
          </w:tcPr>
          <w:p>
            <w:pPr>
              <w:pStyle w:val="TableContents"/>
              <w:bidi w:val="0"/>
              <w:spacing w:before="0" w:after="283"/>
              <w:jc w:val="right"/>
              <w:rPr/>
            </w:pPr>
            <w:r>
              <w:rPr/>
              <w:t>$</w:t>
            </w:r>
          </w:p>
        </w:tc>
        <w:tc>
          <w:tcPr>
            <w:tcW w:w="1118" w:type="dxa"/>
            <w:tcBorders/>
            <w:vAlign w:val="center"/>
          </w:tcPr>
          <w:p>
            <w:pPr>
              <w:pStyle w:val="TableContents"/>
              <w:bidi w:val="0"/>
              <w:spacing w:before="0" w:after="283"/>
              <w:jc w:val="right"/>
              <w:rPr/>
            </w:pPr>
            <w:r>
              <w:rPr/>
              <w:t>684,265</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w:t>
            </w:r>
          </w:p>
        </w:tc>
        <w:tc>
          <w:tcPr>
            <w:tcW w:w="1168" w:type="dxa"/>
            <w:tcBorders/>
            <w:vAlign w:val="center"/>
          </w:tcPr>
          <w:p>
            <w:pPr>
              <w:pStyle w:val="TableContents"/>
              <w:bidi w:val="0"/>
              <w:spacing w:before="0" w:after="283"/>
              <w:jc w:val="right"/>
              <w:rPr/>
            </w:pPr>
            <w:r>
              <w:rPr/>
              <w:t>613,199</w:t>
            </w:r>
          </w:p>
        </w:tc>
      </w:tr>
      <w:tr>
        <w:trPr/>
        <w:tc>
          <w:tcPr>
            <w:tcW w:w="3236"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Cash flow from operations</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1,183,259</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990,819</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36" w:type="dxa"/>
            <w:tcBorders/>
            <w:vAlign w:val="center"/>
          </w:tcPr>
          <w:p>
            <w:pPr>
              <w:pStyle w:val="TableContents"/>
              <w:bidi w:val="0"/>
              <w:spacing w:before="0" w:after="283"/>
              <w:jc w:val="right"/>
              <w:rPr/>
            </w:pPr>
            <w:r>
              <w:rPr/>
              <w:t> </w:t>
            </w:r>
          </w:p>
        </w:tc>
        <w:tc>
          <w:tcPr>
            <w:tcW w:w="1118" w:type="dxa"/>
            <w:tcBorders/>
            <w:vAlign w:val="center"/>
          </w:tcPr>
          <w:p>
            <w:pPr>
              <w:pStyle w:val="TableContents"/>
              <w:bidi w:val="0"/>
              <w:spacing w:before="0" w:after="283"/>
              <w:jc w:val="right"/>
              <w:rPr/>
            </w:pPr>
            <w:r>
              <w:rPr/>
              <w:t>3,302,846</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1168" w:type="dxa"/>
            <w:tcBorders/>
            <w:vAlign w:val="center"/>
          </w:tcPr>
          <w:p>
            <w:pPr>
              <w:pStyle w:val="TableContents"/>
              <w:bidi w:val="0"/>
              <w:spacing w:before="0" w:after="283"/>
              <w:jc w:val="right"/>
              <w:rPr/>
            </w:pPr>
            <w:r>
              <w:rPr/>
              <w:t>3,155,401</w:t>
            </w:r>
          </w:p>
        </w:tc>
      </w:tr>
      <w:tr>
        <w:trPr/>
        <w:tc>
          <w:tcPr>
            <w:tcW w:w="3236"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r>
        <w:trPr/>
        <w:tc>
          <w:tcPr>
            <w:tcW w:w="3236" w:type="dxa"/>
            <w:tcBorders/>
            <w:vAlign w:val="center"/>
          </w:tcPr>
          <w:p>
            <w:pPr>
              <w:pStyle w:val="TableContents"/>
              <w:bidi w:val="0"/>
              <w:spacing w:before="0" w:after="283"/>
              <w:jc w:val="left"/>
              <w:rPr/>
            </w:pPr>
            <w:r>
              <w:rPr/>
              <w:t>Capital spending</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498,769</w:t>
            </w:r>
          </w:p>
        </w:tc>
        <w:tc>
          <w:tcPr>
            <w:tcW w:w="33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479,698</w:t>
            </w:r>
          </w:p>
        </w:tc>
        <w:tc>
          <w:tcPr>
            <w:tcW w:w="3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36" w:type="dxa"/>
            <w:tcBorders/>
            <w:vAlign w:val="center"/>
          </w:tcPr>
          <w:p>
            <w:pPr>
              <w:pStyle w:val="TableContents"/>
              <w:bidi w:val="0"/>
              <w:spacing w:before="0" w:after="283"/>
              <w:jc w:val="right"/>
              <w:rPr/>
            </w:pPr>
            <w:r>
              <w:rPr/>
              <w:t> </w:t>
            </w:r>
          </w:p>
        </w:tc>
        <w:tc>
          <w:tcPr>
            <w:tcW w:w="1118" w:type="dxa"/>
            <w:tcBorders/>
            <w:vAlign w:val="center"/>
          </w:tcPr>
          <w:p>
            <w:pPr>
              <w:pStyle w:val="TableContents"/>
              <w:bidi w:val="0"/>
              <w:spacing w:before="0" w:after="283"/>
              <w:jc w:val="right"/>
              <w:rPr/>
            </w:pPr>
            <w:r>
              <w:rPr/>
              <w:t>1,496,255</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1168" w:type="dxa"/>
            <w:tcBorders/>
            <w:vAlign w:val="center"/>
          </w:tcPr>
          <w:p>
            <w:pPr>
              <w:pStyle w:val="TableContents"/>
              <w:bidi w:val="0"/>
              <w:spacing w:before="0" w:after="283"/>
              <w:jc w:val="right"/>
              <w:rPr/>
            </w:pPr>
            <w:r>
              <w:rPr/>
              <w:t>1,365,321</w:t>
            </w:r>
          </w:p>
        </w:tc>
      </w:tr>
      <w:tr>
        <w:trPr/>
        <w:tc>
          <w:tcPr>
            <w:tcW w:w="3236" w:type="dxa"/>
            <w:tcBorders/>
            <w:vAlign w:val="center"/>
          </w:tcPr>
          <w:p>
            <w:pPr>
              <w:pStyle w:val="TableContents"/>
              <w:bidi w:val="0"/>
              <w:spacing w:before="0" w:after="283"/>
              <w:jc w:val="left"/>
              <w:rPr/>
            </w:pPr>
            <w:r>
              <w:rPr/>
              <w:t> </w:t>
            </w:r>
          </w:p>
        </w:tc>
        <w:tc>
          <w:tcPr>
            <w:tcW w:w="1880" w:type="dxa"/>
            <w:gridSpan w:val="3"/>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88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center"/>
              <w:rPr/>
            </w:pPr>
            <w:r>
              <w:rPr/>
              <w:t> </w:t>
            </w:r>
          </w:p>
        </w:tc>
        <w:tc>
          <w:tcPr>
            <w:tcW w:w="135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492"/>
        <w:gridCol w:w="263"/>
        <w:gridCol w:w="1244"/>
        <w:gridCol w:w="351"/>
        <w:gridCol w:w="165"/>
        <w:gridCol w:w="263"/>
        <w:gridCol w:w="1244"/>
        <w:gridCol w:w="351"/>
        <w:gridCol w:w="165"/>
        <w:gridCol w:w="263"/>
        <w:gridCol w:w="1244"/>
        <w:gridCol w:w="351"/>
        <w:gridCol w:w="146"/>
        <w:gridCol w:w="227"/>
        <w:gridCol w:w="1074"/>
        <w:gridCol w:w="362"/>
      </w:tblGrid>
      <w:tr>
        <w:trPr/>
        <w:tc>
          <w:tcPr>
            <w:tcW w:w="6373" w:type="dxa"/>
            <w:gridSpan w:val="8"/>
            <w:tcBorders/>
            <w:vAlign w:val="center"/>
          </w:tcPr>
          <w:p>
            <w:pPr>
              <w:pStyle w:val="TableContents"/>
              <w:bidi w:val="0"/>
              <w:spacing w:before="0" w:after="283"/>
              <w:jc w:val="left"/>
              <w:rPr/>
            </w:pPr>
            <w:r>
              <w:rPr>
                <w:rStyle w:val="StrongEmphasis"/>
              </w:rPr>
              <w:t>AutoZone's 4th Quarter Highlights - Fiscal 2026</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4350" w:type="dxa"/>
            <w:gridSpan w:val="4"/>
            <w:tcBorders/>
            <w:vAlign w:val="center"/>
          </w:tcPr>
          <w:p>
            <w:pPr>
              <w:pStyle w:val="TableContents"/>
              <w:bidi w:val="0"/>
              <w:spacing w:before="0" w:after="283"/>
              <w:jc w:val="left"/>
              <w:rPr/>
            </w:pPr>
            <w:r>
              <w:rPr>
                <w:rStyle w:val="StrongEmphasis"/>
              </w:rPr>
              <w:t>Condensed Consolidated Statements of Operations</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left"/>
              <w:rPr/>
            </w:pPr>
            <w:r>
              <w:rPr>
                <w:rStyle w:val="StrongEmphasis"/>
              </w:rPr>
              <w:t>Selected Operating Highlights</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left"/>
              <w:rPr/>
            </w:pPr>
            <w:r>
              <w:rPr>
                <w:rStyle w:val="StrongEmphasis"/>
                <w:u w:val="single"/>
              </w:rPr>
              <w:t>Store Count &amp; Square Footage</w:t>
            </w:r>
          </w:p>
        </w:tc>
        <w:tc>
          <w:tcPr>
            <w:tcW w:w="1858" w:type="dxa"/>
            <w:gridSpan w:val="3"/>
            <w:tcBorders/>
            <w:vAlign w:val="center"/>
          </w:tcPr>
          <w:p>
            <w:pPr>
              <w:pStyle w:val="TableContents"/>
              <w:bidi w:val="0"/>
              <w:spacing w:before="0" w:after="283"/>
              <w:jc w:val="center"/>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center"/>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center"/>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center"/>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center"/>
              <w:rPr/>
            </w:pPr>
            <w:r>
              <w:rPr>
                <w:rStyle w:val="StrongEmphasis"/>
              </w:rPr>
              <w:t>16 Weeks Ended</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center"/>
              <w:rPr/>
            </w:pPr>
            <w:r>
              <w:rPr>
                <w:rStyle w:val="StrongEmphasis"/>
              </w:rPr>
              <w:t>16 Weeks Ended</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center"/>
              <w:rPr/>
            </w:pPr>
            <w:r>
              <w:rPr>
                <w:rStyle w:val="StrongEmphasis"/>
              </w:rPr>
              <w:t>52 Weeks Ended</w:t>
            </w:r>
          </w:p>
        </w:tc>
        <w:tc>
          <w:tcPr>
            <w:tcW w:w="146" w:type="dxa"/>
            <w:tcBorders/>
            <w:vAlign w:val="center"/>
          </w:tcPr>
          <w:p>
            <w:pPr>
              <w:pStyle w:val="TableContents"/>
              <w:bidi w:val="0"/>
              <w:spacing w:before="0" w:after="283"/>
              <w:jc w:val="center"/>
              <w:rPr/>
            </w:pPr>
            <w:r>
              <w:rPr/>
              <w:t> </w:t>
            </w:r>
          </w:p>
        </w:tc>
        <w:tc>
          <w:tcPr>
            <w:tcW w:w="1663" w:type="dxa"/>
            <w:gridSpan w:val="3"/>
            <w:tcBorders/>
            <w:vAlign w:val="center"/>
          </w:tcPr>
          <w:p>
            <w:pPr>
              <w:pStyle w:val="TableContents"/>
              <w:bidi w:val="0"/>
              <w:spacing w:before="0" w:after="283"/>
              <w:jc w:val="center"/>
              <w:rPr/>
            </w:pPr>
            <w:r>
              <w:rPr>
                <w:rStyle w:val="StrongEmphasis"/>
              </w:rPr>
              <w:t>52 Weeks Ended</w:t>
            </w:r>
          </w:p>
        </w:tc>
      </w:tr>
      <w:tr>
        <w:trPr/>
        <w:tc>
          <w:tcPr>
            <w:tcW w:w="2492" w:type="dxa"/>
            <w:tcBorders/>
            <w:vAlign w:val="center"/>
          </w:tcPr>
          <w:p>
            <w:pPr>
              <w:pStyle w:val="TableContents"/>
              <w:bidi w:val="0"/>
              <w:spacing w:before="0" w:after="283"/>
              <w:jc w:val="right"/>
              <w:rPr/>
            </w:pPr>
            <w:r>
              <w:rPr/>
              <w:t> </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65" w:type="dxa"/>
            <w:tcBorders/>
            <w:vAlign w:val="center"/>
          </w:tcPr>
          <w:p>
            <w:pPr>
              <w:pStyle w:val="TableContents"/>
              <w:bidi w:val="0"/>
              <w:spacing w:before="0" w:after="283"/>
              <w:jc w:val="right"/>
              <w:rPr/>
            </w:pPr>
            <w:r>
              <w:rPr/>
              <w:t> </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c>
          <w:tcPr>
            <w:tcW w:w="165" w:type="dxa"/>
            <w:tcBorders/>
            <w:vAlign w:val="center"/>
          </w:tcPr>
          <w:p>
            <w:pPr>
              <w:pStyle w:val="TableContents"/>
              <w:bidi w:val="0"/>
              <w:spacing w:before="0" w:after="283"/>
              <w:jc w:val="right"/>
              <w:rPr/>
            </w:pPr>
            <w:r>
              <w:rPr/>
              <w:t> </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46" w:type="dxa"/>
            <w:tcBorders/>
            <w:vAlign w:val="center"/>
          </w:tcPr>
          <w:p>
            <w:pPr>
              <w:pStyle w:val="TableContents"/>
              <w:bidi w:val="0"/>
              <w:spacing w:before="0" w:after="283"/>
              <w:jc w:val="right"/>
              <w:rPr/>
            </w:pPr>
            <w:r>
              <w:rPr/>
              <w:t> </w:t>
            </w:r>
          </w:p>
        </w:tc>
        <w:tc>
          <w:tcPr>
            <w:tcW w:w="166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r>
      <w:tr>
        <w:trPr/>
        <w:tc>
          <w:tcPr>
            <w:tcW w:w="2492" w:type="dxa"/>
            <w:tcBorders/>
            <w:vAlign w:val="center"/>
          </w:tcPr>
          <w:p>
            <w:pPr>
              <w:pStyle w:val="TableContents"/>
              <w:bidi w:val="0"/>
              <w:spacing w:before="0" w:after="283"/>
              <w:jc w:val="left"/>
              <w:rPr/>
            </w:pPr>
            <w:r>
              <w:rPr>
                <w:rStyle w:val="StrongEmphasis"/>
              </w:rPr>
              <w:t>Domestic:</w:t>
            </w:r>
          </w:p>
        </w:tc>
        <w:tc>
          <w:tcPr>
            <w:tcW w:w="1858" w:type="dxa"/>
            <w:gridSpan w:val="3"/>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Beginning stores</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6,766</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6,537</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6,627</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6,432</w:t>
            </w:r>
          </w:p>
        </w:tc>
        <w:tc>
          <w:tcPr>
            <w:tcW w:w="362" w:type="dxa"/>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Stores opened</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97</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91</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236</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196</w:t>
            </w:r>
          </w:p>
        </w:tc>
        <w:tc>
          <w:tcPr>
            <w:tcW w:w="362" w:type="dxa"/>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Stores closed</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(1</w:t>
            </w:r>
          </w:p>
        </w:tc>
        <w:tc>
          <w:tcPr>
            <w:tcW w:w="362" w:type="dxa"/>
            <w:tcBorders/>
            <w:vAlign w:val="center"/>
          </w:tcPr>
          <w:p>
            <w:pPr>
              <w:pStyle w:val="TableContents"/>
              <w:bidi w:val="0"/>
              <w:spacing w:before="0" w:after="283"/>
              <w:jc w:val="left"/>
              <w:rPr/>
            </w:pPr>
            <w:r>
              <w:rPr/>
              <w:t>)</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Ending domestic stores</w:t>
            </w:r>
          </w:p>
        </w:tc>
        <w:tc>
          <w:tcPr>
            <w:tcW w:w="26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24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6,863</w:t>
            </w:r>
          </w:p>
        </w:tc>
        <w:tc>
          <w:tcPr>
            <w:tcW w:w="35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24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6,627</w:t>
            </w:r>
          </w:p>
        </w:tc>
        <w:tc>
          <w:tcPr>
            <w:tcW w:w="35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24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6,863</w:t>
            </w:r>
          </w:p>
        </w:tc>
        <w:tc>
          <w:tcPr>
            <w:tcW w:w="35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7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6,627</w:t>
            </w:r>
          </w:p>
        </w:tc>
        <w:tc>
          <w:tcPr>
            <w:tcW w:w="36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Relocated stores</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2</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4</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10</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9</w:t>
            </w:r>
          </w:p>
        </w:tc>
        <w:tc>
          <w:tcPr>
            <w:tcW w:w="362"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Stores with commercial programs</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6,443</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6,098</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6,443</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6,098</w:t>
            </w:r>
          </w:p>
        </w:tc>
        <w:tc>
          <w:tcPr>
            <w:tcW w:w="362"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Square footage (in thousands)</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45,934</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44,138</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45,934</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44,138</w:t>
            </w:r>
          </w:p>
        </w:tc>
        <w:tc>
          <w:tcPr>
            <w:tcW w:w="362"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left"/>
              <w:rPr/>
            </w:pPr>
            <w:r>
              <w:rPr>
                <w:rStyle w:val="StrongEmphasis"/>
              </w:rPr>
              <w:t>Mexico:</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Beginning stores</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933</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838</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883</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794</w:t>
            </w:r>
          </w:p>
        </w:tc>
        <w:tc>
          <w:tcPr>
            <w:tcW w:w="362" w:type="dxa"/>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Stores opened</w:t>
            </w:r>
          </w:p>
        </w:tc>
        <w:tc>
          <w:tcPr>
            <w:tcW w:w="2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4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68</w:t>
            </w:r>
          </w:p>
        </w:tc>
        <w:tc>
          <w:tcPr>
            <w:tcW w:w="3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4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w:t>
            </w:r>
          </w:p>
        </w:tc>
        <w:tc>
          <w:tcPr>
            <w:tcW w:w="3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4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118</w:t>
            </w:r>
          </w:p>
        </w:tc>
        <w:tc>
          <w:tcPr>
            <w:tcW w:w="3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89</w:t>
            </w:r>
          </w:p>
        </w:tc>
        <w:tc>
          <w:tcPr>
            <w:tcW w:w="36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Ending Mexico stores</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1,001</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883</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1,001</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883</w:t>
            </w:r>
          </w:p>
        </w:tc>
        <w:tc>
          <w:tcPr>
            <w:tcW w:w="362" w:type="dxa"/>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left"/>
              <w:rPr/>
            </w:pPr>
            <w:r>
              <w:rPr>
                <w:rStyle w:val="StrongEmphasis"/>
              </w:rPr>
              <w:t>Brazil:</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Beginning stores</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157</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141</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147</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127</w:t>
            </w:r>
          </w:p>
        </w:tc>
        <w:tc>
          <w:tcPr>
            <w:tcW w:w="362" w:type="dxa"/>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Stores opened</w:t>
            </w:r>
          </w:p>
        </w:tc>
        <w:tc>
          <w:tcPr>
            <w:tcW w:w="2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4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w:t>
            </w:r>
          </w:p>
        </w:tc>
        <w:tc>
          <w:tcPr>
            <w:tcW w:w="3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4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w:t>
            </w:r>
          </w:p>
        </w:tc>
        <w:tc>
          <w:tcPr>
            <w:tcW w:w="3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4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w:t>
            </w:r>
          </w:p>
        </w:tc>
        <w:tc>
          <w:tcPr>
            <w:tcW w:w="3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w:t>
            </w:r>
          </w:p>
        </w:tc>
        <w:tc>
          <w:tcPr>
            <w:tcW w:w="36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Ending Brazil stores</w:t>
            </w:r>
          </w:p>
        </w:tc>
        <w:tc>
          <w:tcPr>
            <w:tcW w:w="2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167</w:t>
            </w:r>
          </w:p>
        </w:tc>
        <w:tc>
          <w:tcPr>
            <w:tcW w:w="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4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147</w:t>
            </w:r>
          </w:p>
        </w:tc>
        <w:tc>
          <w:tcPr>
            <w:tcW w:w="3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167</w:t>
            </w:r>
          </w:p>
        </w:tc>
        <w:tc>
          <w:tcPr>
            <w:tcW w:w="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147</w:t>
            </w:r>
          </w:p>
        </w:tc>
        <w:tc>
          <w:tcPr>
            <w:tcW w:w="36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left"/>
              <w:rPr/>
            </w:pPr>
            <w:r>
              <w:rPr>
                <w:rStyle w:val="StrongEmphasis"/>
              </w:rPr>
              <w:t xml:space="preserve">Total </w:t>
            </w:r>
          </w:p>
        </w:tc>
        <w:tc>
          <w:tcPr>
            <w:tcW w:w="26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24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8,031</w:t>
            </w:r>
          </w:p>
        </w:tc>
        <w:tc>
          <w:tcPr>
            <w:tcW w:w="35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24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7,657</w:t>
            </w:r>
          </w:p>
        </w:tc>
        <w:tc>
          <w:tcPr>
            <w:tcW w:w="35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24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8,031</w:t>
            </w:r>
          </w:p>
        </w:tc>
        <w:tc>
          <w:tcPr>
            <w:tcW w:w="35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07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7,657</w:t>
            </w:r>
          </w:p>
        </w:tc>
        <w:tc>
          <w:tcPr>
            <w:tcW w:w="36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left"/>
              <w:rPr/>
            </w:pPr>
            <w:r>
              <w:rPr>
                <w:rStyle w:val="StrongEmphasis"/>
              </w:rPr>
              <w:t>Total Company stores opened, net</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175</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141</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374</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304</w:t>
            </w:r>
          </w:p>
        </w:tc>
        <w:tc>
          <w:tcPr>
            <w:tcW w:w="362"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Square footage (in thousands)</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54,661</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51,818</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54,661</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51,818</w:t>
            </w:r>
          </w:p>
        </w:tc>
        <w:tc>
          <w:tcPr>
            <w:tcW w:w="362" w:type="dxa"/>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Square footage per store</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6,806</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6,767</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6,806</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6,767</w:t>
            </w:r>
          </w:p>
        </w:tc>
        <w:tc>
          <w:tcPr>
            <w:tcW w:w="362"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rStyle w:val="StrongEmphasis"/>
                <w:u w:val="single"/>
              </w:rPr>
              <w:t>Sales Statistics</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 in thousands, except sales per average square foot)</w:t>
            </w:r>
          </w:p>
        </w:tc>
        <w:tc>
          <w:tcPr>
            <w:tcW w:w="1858" w:type="dxa"/>
            <w:gridSpan w:val="3"/>
            <w:tcBorders/>
            <w:vAlign w:val="center"/>
          </w:tcPr>
          <w:p>
            <w:pPr>
              <w:pStyle w:val="TableContents"/>
              <w:bidi w:val="0"/>
              <w:spacing w:before="0" w:after="283"/>
              <w:jc w:val="both"/>
              <w:rPr/>
            </w:pPr>
            <w:r>
              <w:rPr/>
              <w:t> </w:t>
            </w:r>
          </w:p>
        </w:tc>
        <w:tc>
          <w:tcPr>
            <w:tcW w:w="165" w:type="dxa"/>
            <w:tcBorders/>
            <w:vAlign w:val="center"/>
          </w:tcPr>
          <w:p>
            <w:pPr>
              <w:pStyle w:val="TableContents"/>
              <w:bidi w:val="0"/>
              <w:spacing w:before="0" w:after="283"/>
              <w:jc w:val="both"/>
              <w:rPr/>
            </w:pPr>
            <w:r>
              <w:rPr/>
              <w:t> </w:t>
            </w:r>
          </w:p>
        </w:tc>
        <w:tc>
          <w:tcPr>
            <w:tcW w:w="1858" w:type="dxa"/>
            <w:gridSpan w:val="3"/>
            <w:tcBorders/>
            <w:vAlign w:val="center"/>
          </w:tcPr>
          <w:p>
            <w:pPr>
              <w:pStyle w:val="TableContents"/>
              <w:bidi w:val="0"/>
              <w:spacing w:before="0" w:after="283"/>
              <w:jc w:val="both"/>
              <w:rPr/>
            </w:pPr>
            <w:r>
              <w:rPr/>
              <w:t> </w:t>
            </w:r>
          </w:p>
        </w:tc>
        <w:tc>
          <w:tcPr>
            <w:tcW w:w="165" w:type="dxa"/>
            <w:tcBorders/>
            <w:vAlign w:val="center"/>
          </w:tcPr>
          <w:p>
            <w:pPr>
              <w:pStyle w:val="TableContents"/>
              <w:bidi w:val="0"/>
              <w:spacing w:before="0" w:after="283"/>
              <w:jc w:val="both"/>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center"/>
              <w:rPr/>
            </w:pPr>
            <w:r>
              <w:rPr>
                <w:rStyle w:val="StrongEmphasis"/>
              </w:rPr>
              <w:t>16 Weeks Ended</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center"/>
              <w:rPr/>
            </w:pPr>
            <w:r>
              <w:rPr>
                <w:rStyle w:val="StrongEmphasis"/>
              </w:rPr>
              <w:t>16 Weeks Ended</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center"/>
              <w:rPr/>
            </w:pPr>
            <w:r>
              <w:rPr>
                <w:rStyle w:val="StrongEmphasis"/>
              </w:rPr>
              <w:t>52 Weeks Ended</w:t>
            </w:r>
          </w:p>
        </w:tc>
        <w:tc>
          <w:tcPr>
            <w:tcW w:w="146" w:type="dxa"/>
            <w:tcBorders/>
            <w:vAlign w:val="center"/>
          </w:tcPr>
          <w:p>
            <w:pPr>
              <w:pStyle w:val="TableContents"/>
              <w:bidi w:val="0"/>
              <w:spacing w:before="0" w:after="283"/>
              <w:jc w:val="center"/>
              <w:rPr/>
            </w:pPr>
            <w:r>
              <w:rPr/>
              <w:t> </w:t>
            </w:r>
          </w:p>
        </w:tc>
        <w:tc>
          <w:tcPr>
            <w:tcW w:w="1663" w:type="dxa"/>
            <w:gridSpan w:val="3"/>
            <w:tcBorders/>
            <w:vAlign w:val="center"/>
          </w:tcPr>
          <w:p>
            <w:pPr>
              <w:pStyle w:val="TableContents"/>
              <w:bidi w:val="0"/>
              <w:spacing w:before="0" w:after="283"/>
              <w:jc w:val="center"/>
              <w:rPr/>
            </w:pPr>
            <w:r>
              <w:rPr>
                <w:rStyle w:val="StrongEmphasis"/>
              </w:rPr>
              <w:t>52 Weeks Ended</w:t>
            </w:r>
          </w:p>
        </w:tc>
      </w:tr>
      <w:tr>
        <w:trPr/>
        <w:tc>
          <w:tcPr>
            <w:tcW w:w="2492" w:type="dxa"/>
            <w:tcBorders/>
            <w:vAlign w:val="center"/>
          </w:tcPr>
          <w:p>
            <w:pPr>
              <w:pStyle w:val="TableContents"/>
              <w:bidi w:val="0"/>
              <w:spacing w:before="0" w:after="283"/>
              <w:jc w:val="left"/>
              <w:rPr/>
            </w:pPr>
            <w:r>
              <w:rPr>
                <w:rStyle w:val="StrongEmphasis"/>
              </w:rPr>
              <w:t>Total AutoZone Stores (Domestic, Mexico and Brazil)</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65" w:type="dxa"/>
            <w:tcBorders/>
            <w:vAlign w:val="center"/>
          </w:tcPr>
          <w:p>
            <w:pPr>
              <w:pStyle w:val="TableContents"/>
              <w:bidi w:val="0"/>
              <w:spacing w:before="0" w:after="283"/>
              <w:jc w:val="right"/>
              <w:rPr/>
            </w:pPr>
            <w:r>
              <w:rPr/>
              <w:t> </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c>
          <w:tcPr>
            <w:tcW w:w="165" w:type="dxa"/>
            <w:tcBorders/>
            <w:vAlign w:val="center"/>
          </w:tcPr>
          <w:p>
            <w:pPr>
              <w:pStyle w:val="TableContents"/>
              <w:bidi w:val="0"/>
              <w:spacing w:before="0" w:after="283"/>
              <w:jc w:val="right"/>
              <w:rPr/>
            </w:pPr>
            <w:r>
              <w:rPr/>
              <w:t> </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46" w:type="dxa"/>
            <w:tcBorders/>
            <w:vAlign w:val="center"/>
          </w:tcPr>
          <w:p>
            <w:pPr>
              <w:pStyle w:val="TableContents"/>
              <w:bidi w:val="0"/>
              <w:spacing w:before="0" w:after="283"/>
              <w:jc w:val="right"/>
              <w:rPr/>
            </w:pPr>
            <w:r>
              <w:rPr/>
              <w:t> </w:t>
            </w:r>
          </w:p>
        </w:tc>
        <w:tc>
          <w:tcPr>
            <w:tcW w:w="166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Sales per average store</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830</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823</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2,593</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7" w:type="dxa"/>
            <w:tcBorders/>
            <w:vAlign w:val="center"/>
          </w:tcPr>
          <w:p>
            <w:pPr>
              <w:pStyle w:val="TableContents"/>
              <w:bidi w:val="0"/>
              <w:spacing w:before="0" w:after="283"/>
              <w:jc w:val="right"/>
              <w:rPr/>
            </w:pPr>
            <w:r>
              <w:rPr/>
              <w:t>$</w:t>
            </w:r>
          </w:p>
        </w:tc>
        <w:tc>
          <w:tcPr>
            <w:tcW w:w="1074" w:type="dxa"/>
            <w:tcBorders/>
            <w:vAlign w:val="center"/>
          </w:tcPr>
          <w:p>
            <w:pPr>
              <w:pStyle w:val="TableContents"/>
              <w:bidi w:val="0"/>
              <w:spacing w:before="0" w:after="283"/>
              <w:jc w:val="right"/>
              <w:rPr/>
            </w:pPr>
            <w:r>
              <w:rPr/>
              <w:t>2,523</w:t>
            </w:r>
          </w:p>
        </w:tc>
        <w:tc>
          <w:tcPr>
            <w:tcW w:w="362" w:type="dxa"/>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Sales per average square foot</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122</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122</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382</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w:t>
            </w:r>
          </w:p>
        </w:tc>
        <w:tc>
          <w:tcPr>
            <w:tcW w:w="1074" w:type="dxa"/>
            <w:tcBorders/>
            <w:vAlign w:val="center"/>
          </w:tcPr>
          <w:p>
            <w:pPr>
              <w:pStyle w:val="TableContents"/>
              <w:bidi w:val="0"/>
              <w:spacing w:before="0" w:after="283"/>
              <w:jc w:val="right"/>
              <w:rPr/>
            </w:pPr>
            <w:r>
              <w:rPr/>
              <w:t>374</w:t>
            </w:r>
          </w:p>
        </w:tc>
        <w:tc>
          <w:tcPr>
            <w:tcW w:w="362"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left"/>
              <w:rPr/>
            </w:pPr>
            <w:r>
              <w:rPr>
                <w:rStyle w:val="StrongEmphasis"/>
              </w:rPr>
              <w:t xml:space="preserve">Domestic Commercial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Total domestic commercial sales</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1,912,981</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1,761,960</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5,762,414</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7" w:type="dxa"/>
            <w:tcBorders/>
            <w:vAlign w:val="center"/>
          </w:tcPr>
          <w:p>
            <w:pPr>
              <w:pStyle w:val="TableContents"/>
              <w:bidi w:val="0"/>
              <w:spacing w:before="0" w:after="283"/>
              <w:jc w:val="right"/>
              <w:rPr/>
            </w:pPr>
            <w:r>
              <w:rPr/>
              <w:t>$</w:t>
            </w:r>
          </w:p>
        </w:tc>
        <w:tc>
          <w:tcPr>
            <w:tcW w:w="1074" w:type="dxa"/>
            <w:tcBorders/>
            <w:vAlign w:val="center"/>
          </w:tcPr>
          <w:p>
            <w:pPr>
              <w:pStyle w:val="TableContents"/>
              <w:bidi w:val="0"/>
              <w:spacing w:before="0" w:after="283"/>
              <w:jc w:val="right"/>
              <w:rPr/>
            </w:pPr>
            <w:r>
              <w:rPr/>
              <w:t>5,212,294</w:t>
            </w:r>
          </w:p>
        </w:tc>
        <w:tc>
          <w:tcPr>
            <w:tcW w:w="362" w:type="dxa"/>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 Increase vs. LY</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8.6</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6.0</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10.6</w:t>
            </w:r>
          </w:p>
        </w:tc>
        <w:tc>
          <w:tcPr>
            <w:tcW w:w="35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6.7</w:t>
            </w:r>
          </w:p>
        </w:tc>
        <w:tc>
          <w:tcPr>
            <w:tcW w:w="362" w:type="dxa"/>
            <w:tcBorders/>
            <w:vAlign w:val="center"/>
          </w:tcPr>
          <w:p>
            <w:pPr>
              <w:pStyle w:val="TableContents"/>
              <w:bidi w:val="0"/>
              <w:spacing w:before="0" w:after="283"/>
              <w:jc w:val="left"/>
              <w:rPr/>
            </w:pPr>
            <w:r>
              <w:rPr/>
              <w:t>%</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Average sales per program per week</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18.7</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18.2</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17.7</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7" w:type="dxa"/>
            <w:tcBorders/>
            <w:vAlign w:val="center"/>
          </w:tcPr>
          <w:p>
            <w:pPr>
              <w:pStyle w:val="TableContents"/>
              <w:bidi w:val="0"/>
              <w:spacing w:before="0" w:after="283"/>
              <w:jc w:val="right"/>
              <w:rPr/>
            </w:pPr>
            <w:r>
              <w:rPr/>
              <w:t>$</w:t>
            </w:r>
          </w:p>
        </w:tc>
        <w:tc>
          <w:tcPr>
            <w:tcW w:w="1074" w:type="dxa"/>
            <w:tcBorders/>
            <w:vAlign w:val="center"/>
          </w:tcPr>
          <w:p>
            <w:pPr>
              <w:pStyle w:val="TableContents"/>
              <w:bidi w:val="0"/>
              <w:spacing w:before="0" w:after="283"/>
              <w:jc w:val="right"/>
              <w:rPr/>
            </w:pPr>
            <w:r>
              <w:rPr/>
              <w:t>16.7</w:t>
            </w:r>
          </w:p>
        </w:tc>
        <w:tc>
          <w:tcPr>
            <w:tcW w:w="362" w:type="dxa"/>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 Increase vs. LY</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2.7</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9.0</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6.0</w:t>
            </w:r>
          </w:p>
        </w:tc>
        <w:tc>
          <w:tcPr>
            <w:tcW w:w="35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5.0</w:t>
            </w:r>
          </w:p>
        </w:tc>
        <w:tc>
          <w:tcPr>
            <w:tcW w:w="362" w:type="dxa"/>
            <w:tcBorders/>
            <w:vAlign w:val="center"/>
          </w:tcPr>
          <w:p>
            <w:pPr>
              <w:pStyle w:val="TableContents"/>
              <w:bidi w:val="0"/>
              <w:spacing w:before="0" w:after="283"/>
              <w:jc w:val="left"/>
              <w:rPr/>
            </w:pPr>
            <w:r>
              <w:rPr/>
              <w:t>%</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center"/>
              <w:rPr/>
            </w:pPr>
            <w:r>
              <w:rPr>
                <w:rStyle w:val="StrongEmphasis"/>
              </w:rPr>
              <w:t>16 Weeks Ended</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center"/>
              <w:rPr/>
            </w:pPr>
            <w:r>
              <w:rPr>
                <w:rStyle w:val="StrongEmphasis"/>
              </w:rPr>
              <w:t>16 Weeks Ended</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center"/>
              <w:rPr/>
            </w:pPr>
            <w:r>
              <w:rPr>
                <w:rStyle w:val="StrongEmphasis"/>
              </w:rPr>
              <w:t>52 Weeks Ended</w:t>
            </w:r>
          </w:p>
        </w:tc>
        <w:tc>
          <w:tcPr>
            <w:tcW w:w="146" w:type="dxa"/>
            <w:tcBorders/>
            <w:vAlign w:val="center"/>
          </w:tcPr>
          <w:p>
            <w:pPr>
              <w:pStyle w:val="TableContents"/>
              <w:bidi w:val="0"/>
              <w:spacing w:before="0" w:after="283"/>
              <w:jc w:val="center"/>
              <w:rPr/>
            </w:pPr>
            <w:r>
              <w:rPr/>
              <w:t> </w:t>
            </w:r>
          </w:p>
        </w:tc>
        <w:tc>
          <w:tcPr>
            <w:tcW w:w="1663" w:type="dxa"/>
            <w:gridSpan w:val="3"/>
            <w:tcBorders/>
            <w:vAlign w:val="center"/>
          </w:tcPr>
          <w:p>
            <w:pPr>
              <w:pStyle w:val="TableContents"/>
              <w:bidi w:val="0"/>
              <w:spacing w:before="0" w:after="283"/>
              <w:jc w:val="center"/>
              <w:rPr/>
            </w:pPr>
            <w:r>
              <w:rPr>
                <w:rStyle w:val="StrongEmphasis"/>
              </w:rPr>
              <w:t>52 Weeks Ended</w:t>
            </w:r>
          </w:p>
        </w:tc>
      </w:tr>
      <w:tr>
        <w:trPr/>
        <w:tc>
          <w:tcPr>
            <w:tcW w:w="2492" w:type="dxa"/>
            <w:tcBorders/>
            <w:vAlign w:val="center"/>
          </w:tcPr>
          <w:p>
            <w:pPr>
              <w:pStyle w:val="TableContents"/>
              <w:bidi w:val="0"/>
              <w:spacing w:before="0" w:after="283"/>
              <w:jc w:val="left"/>
              <w:rPr/>
            </w:pPr>
            <w:r>
              <w:rPr>
                <w:rStyle w:val="StrongEmphasis"/>
                <w:u w:val="single"/>
              </w:rPr>
              <w:t xml:space="preserve">Same store sales </w:t>
            </w:r>
            <w:r>
              <w:rPr>
                <w:rStyle w:val="StrongEmphasis"/>
                <w:position w:val="8"/>
                <w:sz w:val="19"/>
                <w:u w:val="single"/>
              </w:rPr>
              <w:t xml:space="preserve">(1) </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65" w:type="dxa"/>
            <w:tcBorders/>
            <w:vAlign w:val="center"/>
          </w:tcPr>
          <w:p>
            <w:pPr>
              <w:pStyle w:val="TableContents"/>
              <w:bidi w:val="0"/>
              <w:spacing w:before="0" w:after="283"/>
              <w:jc w:val="right"/>
              <w:rPr/>
            </w:pPr>
            <w:r>
              <w:rPr/>
              <w:t> </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c>
          <w:tcPr>
            <w:tcW w:w="165" w:type="dxa"/>
            <w:tcBorders/>
            <w:vAlign w:val="center"/>
          </w:tcPr>
          <w:p>
            <w:pPr>
              <w:pStyle w:val="TableContents"/>
              <w:bidi w:val="0"/>
              <w:spacing w:before="0" w:after="283"/>
              <w:jc w:val="right"/>
              <w:rPr/>
            </w:pPr>
            <w:r>
              <w:rPr/>
              <w:t> </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46" w:type="dxa"/>
            <w:tcBorders/>
            <w:vAlign w:val="center"/>
          </w:tcPr>
          <w:p>
            <w:pPr>
              <w:pStyle w:val="TableContents"/>
              <w:bidi w:val="0"/>
              <w:spacing w:before="0" w:after="283"/>
              <w:jc w:val="right"/>
              <w:rPr/>
            </w:pPr>
            <w:r>
              <w:rPr/>
              <w:t> </w:t>
            </w:r>
          </w:p>
        </w:tc>
        <w:tc>
          <w:tcPr>
            <w:tcW w:w="166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Domestic</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1.6</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4.8</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3.3</w:t>
            </w:r>
          </w:p>
        </w:tc>
        <w:tc>
          <w:tcPr>
            <w:tcW w:w="35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3.2</w:t>
            </w:r>
          </w:p>
        </w:tc>
        <w:tc>
          <w:tcPr>
            <w:tcW w:w="362" w:type="dxa"/>
            <w:tcBorders/>
            <w:vAlign w:val="center"/>
          </w:tcPr>
          <w:p>
            <w:pPr>
              <w:pStyle w:val="TableContents"/>
              <w:bidi w:val="0"/>
              <w:spacing w:before="0" w:after="283"/>
              <w:jc w:val="left"/>
              <w:rPr/>
            </w:pPr>
            <w:r>
              <w:rPr/>
              <w:t>%</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International</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10.7</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2.1</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13.5</w:t>
            </w:r>
          </w:p>
        </w:tc>
        <w:tc>
          <w:tcPr>
            <w:tcW w:w="35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(3.2</w:t>
            </w:r>
          </w:p>
        </w:tc>
        <w:tc>
          <w:tcPr>
            <w:tcW w:w="362" w:type="dxa"/>
            <w:tcBorders/>
            <w:vAlign w:val="center"/>
          </w:tcPr>
          <w:p>
            <w:pPr>
              <w:pStyle w:val="TableContents"/>
              <w:bidi w:val="0"/>
              <w:spacing w:before="0" w:after="283"/>
              <w:jc w:val="left"/>
              <w:rPr/>
            </w:pPr>
            <w:r>
              <w:rPr/>
              <w:t>%)</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Total Company</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2.7</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4.5</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4.5</w:t>
            </w:r>
          </w:p>
        </w:tc>
        <w:tc>
          <w:tcPr>
            <w:tcW w:w="35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2.4</w:t>
            </w:r>
          </w:p>
        </w:tc>
        <w:tc>
          <w:tcPr>
            <w:tcW w:w="362" w:type="dxa"/>
            <w:tcBorders/>
            <w:vAlign w:val="center"/>
          </w:tcPr>
          <w:p>
            <w:pPr>
              <w:pStyle w:val="TableContents"/>
              <w:bidi w:val="0"/>
              <w:spacing w:before="0" w:after="283"/>
              <w:jc w:val="left"/>
              <w:rPr/>
            </w:pPr>
            <w:r>
              <w:rPr/>
              <w:t>%</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International - Constant Currency</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1.3</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7.2</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2.2</w:t>
            </w:r>
          </w:p>
        </w:tc>
        <w:tc>
          <w:tcPr>
            <w:tcW w:w="35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9.3</w:t>
            </w:r>
          </w:p>
        </w:tc>
        <w:tc>
          <w:tcPr>
            <w:tcW w:w="362" w:type="dxa"/>
            <w:tcBorders/>
            <w:vAlign w:val="center"/>
          </w:tcPr>
          <w:p>
            <w:pPr>
              <w:pStyle w:val="TableContents"/>
              <w:bidi w:val="0"/>
              <w:spacing w:before="0" w:after="283"/>
              <w:jc w:val="left"/>
              <w:rPr/>
            </w:pPr>
            <w:r>
              <w:rPr/>
              <w:t>%</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Total Company - Constant Currency</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1.5</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5.1</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3.2</w:t>
            </w:r>
          </w:p>
        </w:tc>
        <w:tc>
          <w:tcPr>
            <w:tcW w:w="35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right"/>
              <w:rPr/>
            </w:pPr>
            <w:r>
              <w:rPr/>
              <w:t> </w:t>
            </w:r>
          </w:p>
        </w:tc>
        <w:tc>
          <w:tcPr>
            <w:tcW w:w="1074" w:type="dxa"/>
            <w:tcBorders/>
            <w:vAlign w:val="center"/>
          </w:tcPr>
          <w:p>
            <w:pPr>
              <w:pStyle w:val="TableContents"/>
              <w:bidi w:val="0"/>
              <w:spacing w:before="0" w:after="283"/>
              <w:jc w:val="right"/>
              <w:rPr/>
            </w:pPr>
            <w:r>
              <w:rPr/>
              <w:t>3.9</w:t>
            </w:r>
          </w:p>
        </w:tc>
        <w:tc>
          <w:tcPr>
            <w:tcW w:w="362" w:type="dxa"/>
            <w:tcBorders/>
            <w:vAlign w:val="center"/>
          </w:tcPr>
          <w:p>
            <w:pPr>
              <w:pStyle w:val="TableContents"/>
              <w:bidi w:val="0"/>
              <w:spacing w:before="0" w:after="283"/>
              <w:jc w:val="left"/>
              <w:rPr/>
            </w:pPr>
            <w:r>
              <w:rPr/>
              <w:t>%</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8396" w:type="dxa"/>
            <w:gridSpan w:val="12"/>
            <w:vMerge w:val="restart"/>
            <w:tcBorders/>
            <w:vAlign w:val="center"/>
          </w:tcPr>
          <w:p>
            <w:pPr>
              <w:pStyle w:val="TableContents"/>
              <w:bidi w:val="0"/>
              <w:spacing w:before="0" w:after="283"/>
              <w:jc w:val="left"/>
              <w:rPr/>
            </w:pPr>
            <w:r>
              <w:rPr>
                <w:rStyle w:val="Emphasis"/>
                <w:position w:val="8"/>
                <w:sz w:val="19"/>
              </w:rPr>
              <w:t xml:space="preserve">(1) </w:t>
            </w:r>
            <w:r>
              <w:rPr>
                <w:rStyle w:val="Emphasis"/>
              </w:rPr>
              <w:t>Same store sales are based on sales for all stores open at least one year. Constant Currency same store sales exclude the impact of fluctuations of foreign currency exchange rates by converting both the current year and prior year international results at the prior year foreign currency exchange rate.</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8396" w:type="dxa"/>
            <w:gridSpan w:val="12"/>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vAlign w:val="center"/>
          </w:tcPr>
          <w:p>
            <w:pPr>
              <w:pStyle w:val="TableContents"/>
              <w:bidi w:val="0"/>
              <w:spacing w:before="0" w:after="283"/>
              <w:jc w:val="left"/>
              <w:rPr/>
            </w:pPr>
            <w:r>
              <w:rPr>
                <w:rStyle w:val="StrongEmphasis"/>
                <w:u w:val="single"/>
              </w:rPr>
              <w:t>Inventory Statistics (Total Stores)</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center"/>
              <w:rPr/>
            </w:pPr>
            <w:r>
              <w:rPr>
                <w:rStyle w:val="StrongEmphasis"/>
              </w:rPr>
              <w:t>as of</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center"/>
              <w:rPr/>
            </w:pPr>
            <w:r>
              <w:rPr>
                <w:rStyle w:val="StrongEmphasis"/>
              </w:rPr>
              <w:t>as of</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65" w:type="dxa"/>
            <w:tcBorders/>
            <w:vAlign w:val="center"/>
          </w:tcPr>
          <w:p>
            <w:pPr>
              <w:pStyle w:val="TableContents"/>
              <w:bidi w:val="0"/>
              <w:spacing w:before="0" w:after="283"/>
              <w:jc w:val="right"/>
              <w:rPr/>
            </w:pPr>
            <w:r>
              <w:rPr/>
              <w:t> </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Accounts payable/inventory</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111.1</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114.2</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 in thousands)</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Inventory</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7,735,560</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w:t>
            </w:r>
          </w:p>
        </w:tc>
        <w:tc>
          <w:tcPr>
            <w:tcW w:w="1244" w:type="dxa"/>
            <w:tcBorders/>
            <w:vAlign w:val="center"/>
          </w:tcPr>
          <w:p>
            <w:pPr>
              <w:pStyle w:val="TableContents"/>
              <w:bidi w:val="0"/>
              <w:spacing w:before="0" w:after="283"/>
              <w:jc w:val="right"/>
              <w:rPr/>
            </w:pPr>
            <w:r>
              <w:rPr/>
              <w:t>7,025,688</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righ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Inventory per store</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963</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918</w:t>
            </w:r>
          </w:p>
        </w:tc>
        <w:tc>
          <w:tcPr>
            <w:tcW w:w="35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Net inventory (net of payables)</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(861,025</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(999,902</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Net inventory/per store</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(107</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(131</w:t>
            </w:r>
          </w:p>
        </w:tc>
        <w:tc>
          <w:tcPr>
            <w:tcW w:w="351"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3881" w:type="dxa"/>
            <w:gridSpan w:val="7"/>
            <w:tcBorders/>
            <w:vAlign w:val="center"/>
          </w:tcPr>
          <w:p>
            <w:pPr>
              <w:pStyle w:val="TableContents"/>
              <w:bidi w:val="0"/>
              <w:spacing w:before="0" w:after="283"/>
              <w:jc w:val="center"/>
              <w:rPr/>
            </w:pPr>
            <w:r>
              <w:rPr>
                <w:rStyle w:val="StrongEmphasis"/>
              </w:rPr>
              <w:t>Trailing 5 Quarters</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29, 2026</w:t>
            </w:r>
          </w:p>
        </w:tc>
        <w:tc>
          <w:tcPr>
            <w:tcW w:w="165" w:type="dxa"/>
            <w:tcBorders/>
            <w:vAlign w:val="center"/>
          </w:tcPr>
          <w:p>
            <w:pPr>
              <w:pStyle w:val="TableContents"/>
              <w:bidi w:val="0"/>
              <w:spacing w:before="0" w:after="283"/>
              <w:jc w:val="right"/>
              <w:rPr/>
            </w:pPr>
            <w:r>
              <w:rPr/>
              <w:t> </w:t>
            </w:r>
          </w:p>
        </w:tc>
        <w:tc>
          <w:tcPr>
            <w:tcW w:w="18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30, 2025</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pPr>
            <w:r>
              <w:rPr/>
              <w:t>Inventory turns</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1.3</w:t>
            </w:r>
          </w:p>
        </w:tc>
        <w:tc>
          <w:tcPr>
            <w:tcW w:w="351" w:type="dxa"/>
            <w:tcBorders/>
            <w:vAlign w:val="center"/>
          </w:tcPr>
          <w:p>
            <w:pPr>
              <w:pStyle w:val="TableContents"/>
              <w:bidi w:val="0"/>
              <w:spacing w:before="0" w:after="283"/>
              <w:jc w:val="left"/>
              <w:rPr/>
            </w:pPr>
            <w:r>
              <w:rPr/>
              <w:t>x</w:t>
            </w:r>
          </w:p>
        </w:tc>
        <w:tc>
          <w:tcPr>
            <w:tcW w:w="16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1.4</w:t>
            </w:r>
          </w:p>
        </w:tc>
        <w:tc>
          <w:tcPr>
            <w:tcW w:w="351" w:type="dxa"/>
            <w:tcBorders/>
            <w:vAlign w:val="center"/>
          </w:tcPr>
          <w:p>
            <w:pPr>
              <w:pStyle w:val="TableContents"/>
              <w:bidi w:val="0"/>
              <w:spacing w:before="0" w:after="283"/>
              <w:jc w:val="left"/>
              <w:rPr/>
            </w:pPr>
            <w:r>
              <w:rPr/>
              <w:t>x</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righ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3040</Words>
  <Characters>16859</Characters>
  <CharactersWithSpaces>20688</CharactersWithSpaces>
  <Paragraphs>2193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