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274-4_424b2.htm"/>
        <w:bookmarkStart w:id="1" w:name="kstm26192744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40" w:after="283"/>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333-297291</w:t>
      </w:r>
      <w:r>
        <w:rPr>
          <w:rFonts w:ascii="Times New Roman;Times;serif" w:hAnsi="Times New Roman;Times;serif"/>
          <w:b/>
          <w:i w:val="false"/>
          <w:caps w:val="false"/>
          <w:smallCaps w:val="false"/>
          <w:color w:val="000000"/>
          <w:sz w:val="20"/>
        </w:rPr>
        <w:t>​</w:t>
      </w:r>
    </w:p>
    <w:p>
      <w:pPr>
        <w:pStyle w:val="TextBody"/>
        <w:bidi w:val="0"/>
        <w:spacing w:lineRule="atLeast" w:line="240" w:before="557" w:after="437"/>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Prospectus Dated July 7,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35267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28575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AutoZone,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$850,000,000 4.950%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$850,000,000 aggregate principal amount of 4.950% Senior Notes due 2031, referred to herein as the “notes”. We will pay interest on the notes semi-annually in arrears on January 15 and July 15 each year, beginning on January 15, 2027. The notes will mature on July 15, 2031. We may redeem the notes at our option, at any time in whole or from time to time in part, at the applicable redemption price described in this prospectus supplement under “Description of Notes — Optional Redemption.” If a Change of Control Triggering Event, as defined herein, occurs, unless we have exercised our option to redeem the notes, holders of the notes may require us to repurchase the notes at the price described in this prospectus supplement under “Description of Notes — Change of Control.”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and will rank equally with our other senior unsecured liabilities from time to time outstanding and senior to any future subordinated indebtedness. The notes will be issued only in registered form in minimum denominations of $2,000 and integral multiples of $1,000 in excess thereof.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to list the notes on any securities exchange or on any automated dealer quotation system. </w:t>
      </w:r>
    </w:p>
    <w:p>
      <w:pPr>
        <w:pStyle w:val="TextBody"/>
        <w:bidi w:val="0"/>
        <w:spacing w:lineRule="atLeast" w:line="240" w:before="120" w:after="283"/>
        <w:ind w:left="1393" w:right="0" w:firstLine="400"/>
        <w:jc w:val="left"/>
        <w:rPr/>
      </w:pPr>
      <w:r>
        <w:rPr>
          <w:rFonts w:ascii="Times New Roman;Times;serif" w:hAnsi="Times New Roman;Times;serif"/>
          <w:b/>
          <w:i w:val="false"/>
          <w:caps w:val="false"/>
          <w:smallCaps w:val="false"/>
          <w:color w:val="000000"/>
          <w:spacing w:val="-4"/>
          <w:sz w:val="20"/>
        </w:rPr>
        <w:t xml:space="preserve">See “Risk Factors” beginning on page </w:t>
      </w:r>
      <w:hyperlink w:anchor="sRIFA">
        <w:r>
          <w:rPr>
            <w:rStyle w:val="InternetLink"/>
          </w:rPr>
          <w:t>S-4</w:t>
        </w:r>
      </w:hyperlink>
      <w:r>
        <w:rPr>
          <w:rFonts w:ascii="Times New Roman;Times;serif" w:hAnsi="Times New Roman;Times;serif"/>
          <w:b/>
          <w:i w:val="false"/>
          <w:caps w:val="false"/>
          <w:smallCaps w:val="false"/>
          <w:color w:val="000000"/>
          <w:spacing w:val="-4"/>
          <w:sz w:val="20"/>
        </w:rPr>
        <w:t xml:space="preserve"> in this prospectus supplement, on page </w:t>
      </w:r>
      <w:hyperlink w:anchor="bRIFA">
        <w:r>
          <w:rPr>
            <w:rStyle w:val="InternetLink"/>
          </w:rPr>
          <w:t>1</w:t>
        </w:r>
      </w:hyperlink>
      <w:r>
        <w:rPr>
          <w:rFonts w:ascii="Times New Roman;Times;serif" w:hAnsi="Times New Roman;Times;serif"/>
          <w:b/>
          <w:i w:val="false"/>
          <w:caps w:val="false"/>
          <w:smallCaps w:val="false"/>
          <w:color w:val="000000"/>
          <w:spacing w:val="-4"/>
          <w:sz w:val="20"/>
        </w:rPr>
        <w:t xml:space="preserve"> of our Annual Report on Form 10-K for the year ended August 30, 2025 for a discussion of certain risks that you should consider in connection with an investment in the notes.</w:t>
      </w:r>
      <w:r>
        <w:rPr>
          <w:rFonts w:ascii="Times New Roman;Times;serif" w:hAnsi="Times New Roman;Times;serif"/>
          <w:b/>
          <w:i w:val="false"/>
          <w:caps w:val="false"/>
          <w:smallCaps w:val="false"/>
          <w:color w:val="000000"/>
          <w:spacing w:val="4"/>
          <w:sz w:val="20"/>
        </w:rPr>
        <w:t xml:space="preserve"> </w:t>
      </w:r>
    </w:p>
    <w:tbl>
      <w:tblPr>
        <w:tblW w:w="8336" w:type="dxa"/>
        <w:jc w:val="left"/>
        <w:tblInd w:w="1393" w:type="dxa"/>
        <w:tblLayout w:type="fixed"/>
        <w:tblCellMar>
          <w:top w:w="0" w:type="dxa"/>
          <w:left w:w="0" w:type="dxa"/>
          <w:bottom w:w="28" w:type="dxa"/>
          <w:right w:w="0" w:type="dxa"/>
        </w:tblCellMar>
      </w:tblPr>
      <w:tblGrid>
        <w:gridCol w:w="4648"/>
        <w:gridCol w:w="109"/>
        <w:gridCol w:w="109"/>
        <w:gridCol w:w="109"/>
        <w:gridCol w:w="109"/>
        <w:gridCol w:w="961"/>
        <w:gridCol w:w="109"/>
        <w:gridCol w:w="109"/>
        <w:gridCol w:w="109"/>
        <w:gridCol w:w="109"/>
        <w:gridCol w:w="226"/>
        <w:gridCol w:w="1366"/>
        <w:gridCol w:w="109"/>
        <w:gridCol w:w="154"/>
      </w:tblGrid>
      <w:tr>
        <w:trPr/>
        <w:tc>
          <w:tcPr>
            <w:tcW w:w="46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48"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849,218,000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8" w:type="dxa"/>
            <w:tcBorders/>
            <w:tcMar>
              <w:bottom w:w="0" w:type="dxa"/>
            </w:tcMar>
            <w:vAlign w:val="center"/>
          </w:tcPr>
          <w:p>
            <w:pPr>
              <w:pStyle w:val="TableContents"/>
              <w:bidi w:val="0"/>
              <w:spacing w:before="0" w:after="0"/>
              <w:jc w:val="left"/>
              <w:rPr/>
            </w:pPr>
            <w:r>
              <w:rPr>
                <w:spacing w:val="4"/>
              </w:rPr>
              <w:t>Underwriting discount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5,117,000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8"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AutoZone,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844,101,000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if any, from July 14, 2026, if settlement occurs after that date. </w:t>
      </w:r>
      <w:r>
        <mc:AlternateContent>
          <mc:Choice Requires="wps">
            <w:drawing>
              <wp:anchor behindDoc="0" distT="1270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pPr>
      <w:r>
        <w:rPr>
          <w:rFonts w:ascii="Times New Roman;Times;serif" w:hAnsi="Times New Roman;Times;serif"/>
          <w:b w:val="false"/>
          <w:i w:val="false"/>
          <w:caps w:val="false"/>
          <w:smallCaps w:val="false"/>
          <w:color w:val="000000"/>
          <w:spacing w:val="4"/>
          <w:sz w:val="20"/>
        </w:rPr>
        <w:t xml:space="preserve">We refer you to “Underwriting” beginning on page </w:t>
      </w:r>
      <w:hyperlink w:anchor="sUND">
        <w:r>
          <w:rPr>
            <w:rStyle w:val="InternetLink"/>
          </w:rPr>
          <w:t>S-30</w:t>
        </w:r>
      </w:hyperlink>
      <w:r>
        <w:rPr>
          <w:rFonts w:ascii="Times New Roman;Times;serif" w:hAnsi="Times New Roman;Times;serif"/>
          <w:b w:val="false"/>
          <w:i w:val="false"/>
          <w:caps w:val="false"/>
          <w:smallCaps w:val="false"/>
          <w:color w:val="000000"/>
          <w:spacing w:val="4"/>
          <w:sz w:val="20"/>
        </w:rPr>
        <w:t xml:space="preserve"> of this prospectus supplement for additional information regarding underwriting compensation. </w:t>
      </w:r>
      <w:r>
        <mc:AlternateContent>
          <mc:Choice Requires="wps">
            <w:drawing>
              <wp:anchor behindDoc="0" distT="762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nor any state securities commission has approved or disapproved of these notes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notes in book-entry form only through the facilities of The Depository Trust Company for the accounts of its participants, including Clearstream Banking, société anonyme, and Euroclear Bank S.A./N.V., as operator of the Euroclear System, against payment in New York, New York on or about July 14, 2026. </w:t>
      </w:r>
    </w:p>
    <w:p>
      <w:pPr>
        <w:pStyle w:val="TextBody"/>
        <w:bidi w:val="0"/>
        <w:spacing w:lineRule="atLeast" w:line="240" w:before="1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735" w:type="dxa"/>
        <w:jc w:val="left"/>
        <w:tblInd w:w="1393" w:type="dxa"/>
        <w:tblLayout w:type="fixed"/>
        <w:tblCellMar>
          <w:top w:w="0" w:type="dxa"/>
          <w:left w:w="0" w:type="dxa"/>
          <w:bottom w:w="0" w:type="dxa"/>
          <w:right w:w="0" w:type="dxa"/>
        </w:tblCellMar>
      </w:tblPr>
      <w:tblGrid>
        <w:gridCol w:w="124"/>
        <w:gridCol w:w="1609"/>
        <w:gridCol w:w="109"/>
        <w:gridCol w:w="109"/>
        <w:gridCol w:w="1273"/>
        <w:gridCol w:w="109"/>
        <w:gridCol w:w="109"/>
        <w:gridCol w:w="1612"/>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center"/>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120"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Wells Fargo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7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Supplement dated July 7,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927" w:type="dxa"/>
        <w:jc w:val="left"/>
        <w:tblInd w:w="1393" w:type="dxa"/>
        <w:tblLayout w:type="fixed"/>
        <w:tblCellMar>
          <w:top w:w="0" w:type="dxa"/>
          <w:left w:w="0" w:type="dxa"/>
          <w:bottom w:w="0" w:type="dxa"/>
          <w:right w:w="0" w:type="dxa"/>
        </w:tblCellMar>
      </w:tblPr>
      <w:tblGrid>
        <w:gridCol w:w="124"/>
        <w:gridCol w:w="5492"/>
        <w:gridCol w:w="109"/>
        <w:gridCol w:w="109"/>
        <w:gridCol w:w="109"/>
        <w:gridCol w:w="109"/>
        <w:gridCol w:w="612"/>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THOF">
              <w:r>
                <w:rPr>
                  <w:rStyle w:val="InternetLink"/>
                  <w:spacing w:val="-4"/>
                </w:rPr>
                <w:t>The Offering</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THOF">
              <w:r>
                <w:rPr>
                  <w:rStyle w:val="InternetLink"/>
                  <w:spacing w:val="-4"/>
                </w:rPr>
                <w:t>S-2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RIFA">
              <w:r>
                <w:rPr>
                  <w:rStyle w:val="InternetLink"/>
                  <w:spacing w:val="-4"/>
                </w:rPr>
                <w:t>Risk Factors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RIFA">
              <w:r>
                <w:rPr>
                  <w:rStyle w:val="InternetLink"/>
                  <w:spacing w:val="-4"/>
                </w:rPr>
                <w:t>S-4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OP">
              <w:r>
                <w:rPr>
                  <w:rStyle w:val="InternetLink"/>
                  <w:spacing w:val="-4"/>
                </w:rPr>
                <w:t>S-8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DON">
              <w:r>
                <w:rPr>
                  <w:rStyle w:val="InternetLink"/>
                  <w:spacing w:val="-4"/>
                </w:rPr>
                <w:t>Description of Notes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DON">
              <w:r>
                <w:rPr>
                  <w:rStyle w:val="InternetLink"/>
                  <w:spacing w:val="-4"/>
                </w:rPr>
                <w:t>S-9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MUSF">
              <w:r>
                <w:rPr>
                  <w:rStyle w:val="InternetLink"/>
                  <w:spacing w:val="-4"/>
                </w:rPr>
                <w:t>Material United States Federal Income Tax Consequences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MUSF">
              <w:r>
                <w:rPr>
                  <w:rStyle w:val="InternetLink"/>
                  <w:spacing w:val="-4"/>
                </w:rPr>
                <w:t>S-25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283"/>
              <w:jc w:val="left"/>
              <w:rPr/>
            </w:pPr>
            <w:hyperlink w:anchor="sUND">
              <w:r>
                <w:rPr>
                  <w:rStyle w:val="InternetLink"/>
                  <w:spacing w:val="-4"/>
                </w:rPr>
                <w:t>Underwriting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UND">
              <w:r>
                <w:rPr>
                  <w:rStyle w:val="InternetLink"/>
                  <w:spacing w:val="-4"/>
                </w:rPr>
                <w:t>S-30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LEMA">
              <w:r>
                <w:rPr>
                  <w:rStyle w:val="InternetLink"/>
                  <w:spacing w:val="-4"/>
                </w:rPr>
                <w:t>Legal Matters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LEMA">
              <w:r>
                <w:rPr>
                  <w:rStyle w:val="InternetLink"/>
                  <w:spacing w:val="-4"/>
                </w:rPr>
                <w:t>S-37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283"/>
              <w:jc w:val="left"/>
              <w:rPr/>
            </w:pPr>
            <w:hyperlink w:anchor="sEXP">
              <w:r>
                <w:rPr>
                  <w:rStyle w:val="InternetLink"/>
                  <w:spacing w:val="-4"/>
                </w:rPr>
                <w:t>Experts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EXP">
              <w:r>
                <w:rPr>
                  <w:rStyle w:val="InternetLink"/>
                  <w:spacing w:val="-4"/>
                </w:rPr>
                <w:t>S-37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WYCF">
              <w:r>
                <w:rPr>
                  <w:rStyle w:val="InternetLink"/>
                  <w:spacing w:val="-4"/>
                </w:rPr>
                <w:t>Where You Can Find More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WYCF">
              <w:r>
                <w:rPr>
                  <w:rStyle w:val="InternetLink"/>
                  <w:spacing w:val="-4"/>
                </w:rPr>
                <w:t>S-37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IOCD">
              <w:r>
                <w:rPr>
                  <w:rStyle w:val="InternetLink"/>
                  <w:spacing w:val="-4"/>
                </w:rPr>
                <w:t>Incorporation of Certain Documents by Reference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IOCD">
              <w:r>
                <w:rPr>
                  <w:rStyle w:val="InternetLink"/>
                  <w:spacing w:val="-4"/>
                </w:rPr>
                <w:t>S-37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106" w:type="dxa"/>
        <w:jc w:val="left"/>
        <w:tblInd w:w="1393" w:type="dxa"/>
        <w:tblLayout w:type="fixed"/>
        <w:tblCellMar>
          <w:top w:w="0" w:type="dxa"/>
          <w:left w:w="0" w:type="dxa"/>
          <w:bottom w:w="0" w:type="dxa"/>
          <w:right w:w="0" w:type="dxa"/>
        </w:tblCellMar>
      </w:tblPr>
      <w:tblGrid>
        <w:gridCol w:w="124"/>
        <w:gridCol w:w="6997"/>
        <w:gridCol w:w="109"/>
        <w:gridCol w:w="109"/>
        <w:gridCol w:w="109"/>
        <w:gridCol w:w="109"/>
        <w:gridCol w:w="2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WYCF">
              <w:r>
                <w:rPr>
                  <w:rStyle w:val="InternetLink"/>
                  <w:spacing w:val="-4"/>
                </w:rPr>
                <w:t>WHERE YOU CAN FIND MORE INFORMATION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WYCF">
              <w:r>
                <w:rPr>
                  <w:rStyle w:val="InternetLink"/>
                  <w:spacing w:val="-4"/>
                </w:rPr>
                <w:t>ii</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IOCD">
              <w:r>
                <w:rPr>
                  <w:rStyle w:val="InternetLink"/>
                  <w:spacing w:val="-4"/>
                </w:rPr>
                <w:t>INCORPORATION OF CERTAIN DOCUMENTS BY REFERENCE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IOCD">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AUIN">
              <w:r>
                <w:rPr>
                  <w:rStyle w:val="InternetLink"/>
                  <w:spacing w:val="-4"/>
                </w:rPr>
                <w:t>AUTOZONE, INC.</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AUIN">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RIFA">
              <w:r>
                <w:rPr>
                  <w:rStyle w:val="InternetLink"/>
                  <w:spacing w:val="-4"/>
                </w:rPr>
                <w:t>RISK FACTORS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RIFA">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FOST">
              <w:r>
                <w:rPr>
                  <w:rStyle w:val="InternetLink"/>
                  <w:spacing w:val="-4"/>
                </w:rPr>
                <w:t>FORWARD-LOOKING STATEMENTS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UOP">
              <w:r>
                <w:rPr>
                  <w:rStyle w:val="InternetLink"/>
                  <w:spacing w:val="-4"/>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DODS">
              <w:r>
                <w:rPr>
                  <w:rStyle w:val="InternetLink"/>
                  <w:spacing w:val="-4"/>
                </w:rPr>
                <w:t>DESCRIPTION OF DEBT SECURITIES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DODS">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POD">
              <w:r>
                <w:rPr>
                  <w:rStyle w:val="InternetLink"/>
                  <w:spacing w:val="-4"/>
                </w:rPr>
                <w:t>PLAN OF DISTRIBUTION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POD">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LEMA">
              <w:r>
                <w:rPr>
                  <w:rStyle w:val="InternetLink"/>
                  <w:spacing w:val="-4"/>
                </w:rPr>
                <w:t>LEGAL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283"/>
              <w:jc w:val="left"/>
              <w:rPr/>
            </w:pPr>
            <w:hyperlink w:anchor="bEXP">
              <w:r>
                <w:rPr>
                  <w:rStyle w:val="InternetLink"/>
                  <w:spacing w:val="-4"/>
                </w:rPr>
                <w:t>EXPERTS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EXP">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in this prospectus supplement, the accompanying prospectus, any free writing prospectus filed by us with the United States Securities and Exchange Commission, or the “SEC,” and the documents incorporated by reference herein and therein filed by us with the SEC. Neither we nor the underwriters have authorized anyone to give any information other than that contained or incorporated by reference in this prospectus supplement and the accompanying prospectus or any free writing prospectus prepared by or on behalf of us to which we have referred you. Neither we nor the underwriters take any responsibility for, or can provide any assurance as to the reliability of, any other information that others give you, and caution you not to rely on such information. In this prospectus supplement, any reference to an applicable prospectus supplement may refer to or include a free writing prospectus, unless the context otherwise requires. This prospectus supplement and the accompanying prospectus do not constitute an offer to sell or the solicitation of an offer to buy any securities other than the securities to which they relate, nor do this prospectus supplement or the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the accompanying prospectus is accurate on any date subsequent to the date set forth on the front of the applicable document. Our business, financial condition, results of operations and prospects may have changed since those dates. If the information varies between this prospectus supplement and the accompanying prospectus, the information in this prospectus supplement supersedes the information in the accompanying prospectus.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supplement along with the accompanying prospectus, which is part of our Registration Statement on Form S-3. This prospectus supplement and the accompanying prospectus form one single document and both contain information you should consider when making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supplement and the accompanying prospectus and the offering of the notes in certain jurisdictions may be restricted by law. Persons into whose possession this prospectus supplement and the accompanying prospectus come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for you to read and consider all information contained or incorporated by reference into this prospectus supplement and the accompanying prospectus in making your investment decision. You should also read and consider the information in the documents to which we have referred you in “Where You Can Find More Information” and “Incorporation of Certain Documents by Reference”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“we,” “our” and “us” in this prospectus supplement, we mean AutoZone, Inc., including, unless the context otherwise requires or as otherwise expressly stated, our subsidiaries. When we refer to “you” or “yours,” we mean the purchasers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statements included or incorporated by reference in this prospectus supplement and the accompanying prospectus are forward-looking statements (as the term is defined in Section 27A of the Securities Act of 1933, as amended, or the Securities Act, and Section 21E of the Securities Exchange Act of 1934, as amended, or the Exchange Act) and constitute the Company’s cautionary statements under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w:t>
      </w:r>
      <w:hyperlink r:id="rId3">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which is expressly incorporated by reference into this prospectus supplement and the accompanying prospectus, and those risks described in this prospectus supplement under “Risk Factors,” and elsewhere in documents filed with the SEC and incorporated by reference into this prospectus supplement.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Unless the context otherwise requires or indicates, each reference in this prospectus supplement and the accompanying prospectus to “we,” “our,” “us,” “AutoZone” and the “Company” means AutoZone, Inc., a Nevada corporation, and its consolidated subsidiaries. This summary description of our business and the offering may not contain all the information that may be important to you. You should read this entire prospectus supplement and the accompanying prospectus, including the information set forth under the heading “Risk Factors” included herein, and in our </w:t>
      </w:r>
      <w:hyperlink r:id="rId4">
        <w:r>
          <w:rPr>
            <w:rStyle w:val="InternetLink"/>
          </w:rPr>
          <w:t>Annual Report on Form 10-K for the fiscal year ended August 30, 2025</w:t>
        </w:r>
      </w:hyperlink>
      <w:r>
        <w:rPr>
          <w:rFonts w:ascii="Times New Roman;Times;serif" w:hAnsi="Times New Roman;Times;serif"/>
          <w:b w:val="false"/>
          <w:i/>
          <w:caps w:val="false"/>
          <w:smallCaps w:val="false"/>
          <w:color w:val="000000"/>
          <w:spacing w:val="4"/>
          <w:sz w:val="20"/>
          <w:bdr w:val="single" w:sz="8" w:space="1" w:color="000000"/>
        </w:rPr>
        <w:t>, which is incorporated by reference herein, and the financial statements and related notes and the information included or incorporated by reference herein, before making an investment decision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leading retailer and distributor of automotive replacement parts and accessories in the Americas. We began operations in 1979 and at May 9, 2026, operated 6,766 stores in the United States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Additional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AutoZone, Inc. is a Nevada corporation. Our executive offices are located at 123 South Front Street, Memphis, Tennessee 38103, and our telephone number is (901) 495-6500. We maintain a website at www.autozone.com. Information contained on any of our websites does not constitute a part of this document and is not incorporated by reference in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THO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is a brief summary of some of the terms of this offering. It does not contain all of the information that you need to consider in making your investment decision. To understand all of the terms of the offering of the notes, you should carefully read the section titled “Description of Notes” in this prospectus supplement and the section titled “Description of Debt Securities” in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AutoZone, Inc., a Nevada corporation.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Securities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$850,000,000 aggregate principal amount of 4.950% Senior Notes due July 15, 2031, which we refer to as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July 15, 2031.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4.950%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January 15 and July 15 of each year, beginning on January 15,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redeemable at our option, at any time in whole or from time to time in part, on not less than 10 nor more than 60 days’ notice, at the applicable redemption price described in this prospectus supplement under “Description of Notes — Optional Redemption.”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senior unsecured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senior to any future subordinated debt and other liabilities;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equally with our other senior unsecured debt and other liabilities from time to time outstanding;</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effectively junior to any secured debt to the extent of the value of the assets securing such debt and other liabilities;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be effectively junior to all existing and future debt and other liabilities of our subsidiaries. </w:t>
      </w:r>
      <w:r>
        <mc:AlternateContent>
          <mc:Choice Requires="wps">
            <w:drawing>
              <wp:anchor behindDoc="0" distT="86360" distB="0" distL="21336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Change of Control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occurs, unless we have exercised our option to redeem the notes (as described in this prospectus supplement under “Description of Notes — Optional Redemption”), holders of the notes may require us to repurchase the notes at a specified price. See “Description of Notes — Change of Control.”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under which the notes will be issued contains covenants restricting, among other things, our ability, subject to certain exceptions, to incur debt secured by liens, to enter into sale and leaseback transactions or to merge or consolidate with another entity or sell substantially all of our assets to another person. See “Description of Notes — Covenants.”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Lack of a Public Market for the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do not intend to apply to list the notes on any securities exchange or on any automated dealer quotation system. The notes are a new issue of securities with no established trading market. There can be no assurance regarding:</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future development or liquidity of a trading market for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prices at which you may be able to sell your notes;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86360" distB="0" distL="21336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6.8pt;mso-wrap-distance-bottom:0pt;margin-top:6.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20"/>
        <w:ind w:left="49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ability to sell your notes at all. </w:t>
      </w:r>
      <w:r>
        <mc:AlternateContent>
          <mc:Choice Requires="wps">
            <w:drawing>
              <wp:anchor behindDoc="0" distT="0" distB="0" distL="21336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and Denominations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in the form of one or more fully registered global notes registered in the name of the nominee of The Depository Trust Company, or DTC. Beneficial interests in the notes will be represented through book-entry accounts of financial institutions acting on behalf of beneficial owners as direct and indirect participants in DTC. Clearstream Banking, société anonyme, and Euroclear Bank S.A./N.V., as operator of the Euroclear System, will hold interests on behalf of their participants through their respective U.S. depositaries, which in turn will hold such interests in accounts as participants of DTC. Except in the limited circumstances described in this prospectus supplement, owners of beneficial interests in the notes will not be entitled to have notes registered in their names, will not receive or be entitled to receive notes in definitive form and will not be considered holders of notes under the indenture. The notes will be issued only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Investment in the notes involves risks. You should carefully consider the information under “Risk Factors” beginning on page </w:t>
      </w:r>
      <w:hyperlink w:anchor="s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under “Risk Factors” in our Annual Report on Form 10-K for the fiscal year ended August 30, 2025, which is incorporated by reference herein, as well as all other information in the prospectus supplement and accompanying prospectus, including information incorporated by reference herein and therein. See “Incorporation of Certain Documents by Reference” on page </w:t>
      </w:r>
      <w:hyperlink w:anchor="sIOCD">
        <w:r>
          <w:rPr>
            <w:rStyle w:val="InternetLink"/>
          </w:rPr>
          <w:t>S-37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the sale of the notes will be approximately $841.7 million, after deducting the underwriting discounts and estimated offering expenses payable by us. We intend to use the net proceeds from this offering for general corporate purposes, which may include repaying, redeeming or repurchasing outstanding debt, including commercial paper, and for working capital, capital expenditures, new store openings, repurchases of common stock under our stock repurchase program and acquisitions. We may invest funds not required immediately for such purposes in short-term, interest-bearing and other investment-grade securities. See “Use of Proceeds” on page </w:t>
      </w:r>
      <w:hyperlink w:anchor="sUOP">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Further Issues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or notice to the holders of the notes, create and issue additional notes ranking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the notes and otherwise identical to the notes in all respects (or in all respects except for the issue date, issue price, the payment of interest accruing prior to the issue date of such additional notes or except, in some cases, for the first payment of interest following the issue date of such additional notes). These additional notes, if any, will form a single series with the notes offered hereby and will have the same terms as to ranking, redemption or otherwise as such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Regions Bank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provides, and the notes will provide, that they will be governed by, and construed in accordance with, the laws of 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a degree of risk. You should carefully consider the risks and uncertainties described below and other information contained in this prospectus supplement and the accompanying prospectus and incorporated by reference herein and therein before you decide whether to invest in the notes. In particular, we urge you to consider carefully the factors set forth in Item 1A. Risk Factors under Part I of our </w:t>
      </w:r>
      <w:hyperlink r:id="rId5">
        <w:r>
          <w:rPr>
            <w:rStyle w:val="InternetLink"/>
          </w:rPr>
          <w:t>Annual Report on Form 10-K for the fiscal year ended August 30, 2025</w:t>
        </w:r>
      </w:hyperlink>
      <w:r>
        <w:rPr>
          <w:rFonts w:ascii="Times New Roman;Times;serif" w:hAnsi="Times New Roman;Times;serif"/>
          <w:b w:val="false"/>
          <w:i/>
          <w:caps w:val="false"/>
          <w:smallCaps w:val="false"/>
          <w:color w:val="000000"/>
          <w:spacing w:val="4"/>
          <w:sz w:val="20"/>
        </w:rPr>
        <w:t xml:space="preserve">, which is incorporated by reference herein, as such may be updated in any future filings we make under the Exchange Act. If any of the risks discussed or incorporated by reference herein or therein were to occur, our business, financial condition, results of operations and liquidity could be materially and negatively adversely affected. This may adversely affect our ability to pay interest on the notes or repay the principal when due, and you may lose part or all of your investment in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any of our subsidiaries and will be structurally subordinated to the debt and other liabilities and any preferred equity of our subsidiaries, which means that creditors and preferred equity holders of our subsidiaries will be paid from their assets before holders of the notes would have any claims to those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exclusively obligations of AutoZone, Inc. Because substantially all of our operations are currently conducted through our subsidiaries, our cash flow and our consequent ability to service our debt, including the notes, are dependent upon the earnings of our subsidiaries and the distribution of those earnings to us or upon loans or other payments of funds by those subsidiaries to us. Our subsidiaries are separate and distinct legal entities and have no obligation, contingent or otherwise, to pay any amounts due pursuant to the notes or to make any funds available for such payments, whether by dividends, loans or otherwise. In addition, the payment of dividends and the making of loans and advances to us by our subsidiaries may be subject to statutory or contractual restrictions, are contingent upon the earnings of those subsidiaries and are subject to various business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to all indebtedness and other liabilities, including current liabilities and commitments under leases, if any, of our subsidiaries. Any right we have to receive assets of any of our subsidiaries upon the liquidation or reorganization of a subsidiary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subordinated to any security interests in the assets of such subsidiary and any indebtedness of such subsidiary senior to any of the indebtedness held by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right to receive payments on the notes is effectively subordinated to the rights of secured creditors.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secured indebtedness and the secured indebtedness of any future guarantors will have claims that are prior to your claims as holders of the notes to the extent of the value of the assets securing that other indebtedness. The notes will be effectively subordinated to all of our secured indebtedness to the extent of the assets securing such debt. In the event of any distribution or payment of our assets or any pledged capital stock in any foreclosure, dissolution, winding-up, liquidation, reorganization or other bankruptcy proceeding, holders of secured indebtedness will have prior claim to those of our assets and any pledged capital stock that constitute their collateral. Holders of the notes will participate ratably in our remaining assets with all holders of our unsecured indebtedness that is deemed to be of the same class as the notes, and potentially with all of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default on our obligations to pay our other indebtedness, we may not be able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under the agreements governing our indebtedness, including a default under any credit facility to which we may be a party that is not waived by the required lenders, and the remedies sought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our existing credit facilities),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any credit facility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any credit facility or other debt that we may incur in the future to avoid being in default. If we breach our covenants under any credit facility that would result in a default and seek a waiver, we may not be able to obtain a waiver from the required lenders and they could exercise their rights as described above. If this occurs, we could be forced into bankruptcy or liquidation. If we are unable to repay debt, lenders having secured obligations could proceed against the collateral securing the debt. Because the indenture governing the notes, the indentures governing our notes that are currently outstanding and the agreements governing any credit facility will have customary cross-default provisions, if the indebtedness under the notes or under any credit facility or any of our other facilities or notes is accelerated, we may be unable to repay or finance the amounts due. See “Description of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 active trading market does not develop for these notes you may not be able to resell them.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was no public market for these notes and we cannot assure you that an active trading market will develop for the notes. We do not intend to apply to list the notes on any securities exchange or on any automated dealer quotation system. If no active trading market develops, you may not be able to resell your notes at their fair market value or at all. Future trading prices of the notes will depend on many factors, including, among other things, prevailing interest rates, our operating results and the market for similar securities. We have been informed by the underwriters that they currently intend to make a market in these notes after this offering is completed. However, the underwriters may cease their market-making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Increased leverage may harm our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9, 2026, we had approximately $23.7 billion of total liabilities on a consolidated basis, including $7.7 billion in aggregate principal amount of senior unsecured indebtedness. As of May 9, 2026, we had $2.2 billion of availability under our $2.25 billion revolving credit facility.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subsidiaries may incur additional indebtedness in the future and, subject to limitations on debt secured by liens on certain of our properties or on shares of stock or evidence of indebtedness of any subsidiaries (see “Description of Notes — Covenants — Limitation on Liens”), the notes do not restrict future incurrence of indebtedness. This increase and any future increase in our level of indebtedness will have several important effects on our future operations, including, without limitation,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additional cash requirements to support the payment of interest on our outstanding indebtedness;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our outstanding indebtedness and leverage may increase our vulnerability to adverse changes in general economic and industry conditions, as well as to competitive pressure;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additional financing for working capital, capital expenditures, general corporate and other purposes may be limited; and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flexibility in planning for, or reacting to, changes in our business and our industry may be limited.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payments of principal and interest on our indebtedness depends on our future performance, which will be subject to general economic conditions, industry cycles and financial,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 factors affecting our consolidated operations, many of which are beyond our control. If we are unable to generate sufficient cash flow from operations in the future to service our debt, we may be required,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seek additional financing in the debt or equity markets;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refinance or restructure all or a portion of our indebtedness, including the notes;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sell selected assets;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or delay planned capital expenditures; or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or delay planned operating expenditures.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measures might not be sufficient to enable us to service our debt, including the notes. In addition, any such financing, refinancing or sale of assets might not be available on economically favorable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does not restrict the amount of additional debt that we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indenture under which the notes will be issued do not place any limitation on the amount of unsecured debt that may be incurred by us. Our incurrence of additional debt may have important consequences for you as a holder of the notes, including making it more difficult for us to satisfy our obligations with respect to the notes, a loss in the trading value of your notes, if any, and a risk that the credit rating of the notes is lowered or withdrawn.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your investments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in the future repurchase shares of our common stock, which would reduce cash reserves and shareholders’ equity that is available for repayment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inception of AutoZone’s repurchase program in 1998, AutoZone’s Board of Directors (the “Board”) has authorized cumulative repurchases of our common stock having an aggregate cost of $42.2 billion. From January 1, 1998 to May 9, 2026, we repurchased a total of approximately 156.0 million shares of our common stock at an aggregate cost of $39.8 billion. Considering the cumulative repurchases, as of May 9, 2026 we had $0.8 billion remaining under our authorization by the Board to repurchase shares of our common stock. Historically, our has periodically increased our authorization to engage in stock repurchases over time, and may continue to do so. Future stock repurchases may be significant, and would reduce cash and shareholders’ equity that is available to repay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choose to redeem the notes prior to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the notes at any time at the applicable redemption price described in this prospectus supplement. See “Description of Notes — Optional Redemption.” If prevailing interest rates are lower at the time of redemption, holders of the notes to be redeemed may not be able to reinvest the redemption proceeds in a comparable security at an interest rate as high as the interest rate of the notes being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repurchase the notes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as defined herein, unless we have exercised our right to redeem the notes, each holder of the notes will have the right to require us to repurchase all or any part of such holder’s notes at a price equal to 101% of their principal amount, plus accrued and unpaid interest, if any, to the date of repurchase. If we experience a Change of Control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we would have sufficient financial resources available to satisfy our obligations to repurchase the notes and any other indebtedness that may be required to be repaid or repurchased as a result of such event. Our failure to repurchase the notes as required under the indenture governing the notes would result in a default under the indenture, which could have material adverse consequences for us and the holders of the notes. See “Description of Notes —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this offering will be approximately $841.7 million, after deducting the underwriting discount and estimated offering expenses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this offering for general corporate purposes, which may include repaying, redeeming or repurchasing outstanding debt, including commercial paper, and for working capital, capital expenditures, new store openings, repurchases of common stock under our stock repurchase program and acquisitions. We may invest funds not required immediately for these purposes in short-term, interest-bearing and other investment-grade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DON"/>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and provisions of the notes supplements the description in the accompanying prospectus of the general terms and provisions of the debt securities, to which description reference is hereby made. In this section entitled “Description of Notes,” references to “we,” “us,” “our,” and “AutoZone, Inc.” include only AutoZone, Inc. and not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senior debt securities issued under the indenture. The notes will initially be limited to $850,000,000 aggregate principal amount, subject to increase as set forth under “Description of Notes — Further Issues” below. The notes will mature on July 15, 2031, and will bear interest at a rate of 4.950%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dated as of August 8, 2003, between us and Regions Bank (successor in interest to The Bank of New York Mellon Trust Company, N.A., successor in interest to Bank One Trust Company, N.A.), as trustee, as supplemented by an officers’ certificate, to be dated           , 2026 setting forth the terms and conditions of the notes. The trustee will also act as registrar, paying agent and authenticating agent and perform administrative duties for us, such as sending out interest payments and notices under the indenture. We refer to the indenture, as supplemented by the officers’ certificate, as the indenture. We urge you to read the indenture (including definitions of terms used therein) because it, and not this description, defines your rights as a beneficial holder of the notes. You may request copies of the indenture from us at our address set forth under “Incorporation of Certain Documents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July 14, 2026 and will be payable semi-annually in arrears on January 15 and July 15 each year, beginning on January 15, 2027, to the persons in whose names the notes are registered at the close of business on January 1 and July 1 (whether or not a business day) preceding the respective interest payment dates. If any interest payment date is not a business day, then payment of interest will be made on the next business day, but without any interest on the amount so payable for the period from and after the applicable interest payment date to the next business day. Interest will be computed on the notes on the basis of a 360-day year of twelve 30-day months.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subject to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represented by one or more registered notes in global form, but in certain limited circumstances may be represented by notes in definitive form. See “Description of Notes — Book-Entry Delivery and Settlement Global Notes.” The notes will be issued only in minimum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of AutoZone, Inc. and will rank equally and ratably with all other unsecured and unsubordinated indebtedness of AutoZone, Inc. from time to time outstanding. The notes are exclusively obligations of AutoZone, Inc. Because substantially all of our operations are currently conducted through subsidiaries, our cash flow and our consequent ability to service our debt, including the notes, are dependent upon the earnings of our subsidiaries and the distribution of those earnings to us or upon loans or other payments of funds by those subsidiaries to us. Our subsidiaries are separate and distinct legal entities and have no obligation, contingent or otherwise, to pay any amounts due pursuant to the notes or to make any funds available for such payments, whether by dividends, loans or otherwise. In addition, the payment of dividends and the making of loans and advances to us by our subsidiaries may be subject to statutory or contractual restrictions, are contingent upon the earnings of those subsidiaries and are subject to various business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to all indebtedness and other liabilities, including current liabilities and commitments under leases, if any, of our subsidiaries. Any right we have to receive assets of any of our subsidiaries upon the liquidation or reorganization of a subsidiary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subordinated to any security interests in the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subsidiary and any indebtedness of such subsidiary senior to any of the indebtedness held by us. See “Risk Factors — Risks Related to the Notes — The notes will not be guaranteed by any of our subsidiaries and will be structurally subordinated to the debt and other liabilities and any preferred equity of our subsidiaries, which means that creditors and preferred equity holders of our subsidiaries will be paid from their assets before holders of the notes would have any claims to those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redeemable at our option at any time in whole or from time to time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June 15, 2031 (one month prior to their maturity date) (the “Par Call Date”),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thereon discounted to the redemption date (assuming the notes to be redeemed matured on the Par Call Date) on a semi-annual basis (assuming a 360-day year consisting of twelve 30-day months) at the Treasury Rate plus 15 basis points less (b) interest accrued to, but not including,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to be redeemed,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in whole or in part, at any time and from time to time, at a redemption price equal to 100% of the principal amount of the notes being redeemed plus accrued and unpaid interest on the notes to be redeemed to, but not including, the redemption date. “Treasury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notice of any redemption may be given prior to the redemption thereof, and any such redemption or notice may, at our discretion, be subject to one or more conditions precedent, including, but not limited to, completion of an equity offering or other corporate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with respect to the notes, unless we have exercised our option to redeem such notes as described above, holders of the notes will have the right to require us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plus accrued and unpaid interest, if any, on the notes repurchased to the date of repurchase (a “Change of Control Payment”). 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will, if mailed prior to the date of consummation of the Change of Control, state that the Change of Control Offer is conditioned on the Change of Control Triggering Event occurring on or prior to the applicable Change of Control Payment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each Change of Control Payment Date, we will, to the extent lawful: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pursuant to the applicable Change of Control Offer; </w:t>
      </w:r>
      <w:r>
        <mc:AlternateContent>
          <mc:Choice Requires="wps">
            <w:drawing>
              <wp:anchor behindDoc="0" distT="6731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notes or portions of notes properly tendered; and </w:t>
      </w:r>
      <w:r>
        <mc:AlternateContent>
          <mc:Choice Requires="wps">
            <w:drawing>
              <wp:anchor behindDoc="0" distT="6731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repurchased. </w:t>
      </w:r>
      <w:r>
        <mc:AlternateContent>
          <mc:Choice Requires="wps">
            <w:drawing>
              <wp:anchor behindDoc="0" distT="6731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the occurrence of a Change of Control Triggering Event if a third party makes such an offer in the manner, at the times and otherwise in compliance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the repurchase of the notes at the option of the holders, the following definitions are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of a corporation means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AutoZone, Inc.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AutoZone, Inc.’s liquidation or dissolution. Notwithstanding the foregoing, a transaction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BBB- (or the equivalent) by Fitch, Baa3 (or the equivalent) by Moody’s and BBB- (or the equivalent) by S&amp;P, and the equivalent investment grade credit rating from any replacement Rating Agency or Rating Agencies selected by us.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has the meaning given thereto in Section 13(d)(3) of the Exchange Act.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Agencies</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Exchange Act selected by us (as certified by a resolution of the Board) as a replacement agency for Fitch, Moody’s or S&amp;P, or all of them, as the case may be.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Event</w:t>
      </w:r>
      <w:r>
        <w:rPr>
          <w:rFonts w:ascii="Times New Roman;Times;serif" w:hAnsi="Times New Roman;Times;serif"/>
          <w:b w:val="false"/>
          <w:i w:val="false"/>
          <w:caps w:val="false"/>
          <w:smallCaps w:val="false"/>
          <w:color w:val="000000"/>
          <w:spacing w:val="4"/>
          <w:sz w:val="20"/>
        </w:rPr>
        <w:t xml:space="preserve">” means with respect to the notes, the rating on the notes is lowered by at least two of the three Rating Agencies and the notes are rated below an Investment Grade Rating by at least two of the three Rating Agencies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business unit of S&amp;P Global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with respect to any specified Person that is a corporation as of any date, the Capital Stock of such Person that is at the time entitled to vote generally in the election of the Board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will not, and will not permit any of our subsidiaries to, create, incur, issue, assume or guarantee any debt secured by a Lien (other than Permitted Liens) upon any Property, or upon shares of Capital Stock or evidence of debt issued by any of our subsidiaries and owned by us or by any other of our subsidiaries, owned on the date of issuance of any senior debt securities, without making effective provision to secure all of the notes, equally and ratably with any and all other debt secured thereby, so long as such debt shall be so secured.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will not, and will not permit any subsidiary to, enter into any arrangement with any person providing for the leasing by us or any subsidiary of any Property that has been or is to be sold or transferred by us or such subsidiary to such person more than 270 days following our or our subsidiary’s acquisition of such Property, with the intention of taking back a lease of such Property (a “Sale and Leaseback Transaction”) unless either: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 months after the receipt of the proceeds of the sale or transfer, we or any subsidiary apply an amount equal to the greater of the net proceeds of the sale or transfer or the fair value (as determined in good faith by the Board) of such Property at the time of such sale or transfer to the prepayment or retirement (other than any mandatory prepayment or retirement) of Senior Funded Debt; or </w:t>
      </w:r>
      <w:r>
        <mc:AlternateContent>
          <mc:Choice Requires="wps">
            <w:drawing>
              <wp:anchor behindDoc="0" distT="6858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such subsidiary would be entitled, at the effective date of the sale or transfer, to incur debt secured by a Lien on such Property in an amount at least equal to the Attributable Debt in respect of the Sale and Leaseback Transaction, without equally and ratably securing the notes pursuant to the covenant described under “Description of Notes — Covenants — Limitation on Liens.” </w:t>
      </w:r>
      <w:r>
        <mc:AlternateContent>
          <mc:Choice Requires="wps">
            <w:drawing>
              <wp:anchor behindDoc="0" distT="6731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restriction in the paragraph above does not apply to any Sale and Leaseback Transaction (i) for a term of not more than three years including renewals or (ii) between us and a subsidiary or between subsidiaries, provided that the lessor is us or a wholly owned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Consolidation, Merger and Sale of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corporation or the successor person (if other than AutoZone, Inc.) is organized and validly existing under the laws of any U.S. domestic jurisdiction and expressly assumes our obligations on the notes and under the indenture; </w:t>
      </w:r>
      <w:r>
        <mc:AlternateContent>
          <mc:Choice Requires="wps">
            <w:drawing>
              <wp:anchor behindDoc="0" distT="6731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and no event which, after notice or lapse of time, or both, would become an event of default, shall have occurred and be continuing under the indenture; and </w:t>
      </w:r>
      <w:r>
        <mc:AlternateContent>
          <mc:Choice Requires="wps">
            <w:drawing>
              <wp:anchor behindDoc="0" distT="6731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conditions are met.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 any of our subsidiaries may consolidate with, merge into or transfer all or part of its properties and assets to us or any of our direct or indirect wholly owned subsidiaries and (ii) the Company may merge with an affiliate incorporated solely for the purpose of and with the sole effect of reincorporating or reorganizing the Company in another state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any reference to a merger, consolidation, amalgamation, distribution, assignment, sale, transfer, disposition or similar term, shall be deemed to apply to a division of or by a limited liability company, limited partnership or trust, or an allocation of assets of a limited liability company, limited partnership or trust (or the unwinding of such a division or allocation), as if it were a merger, consolidation, amalgamation, distribution, assignment, sale, transfer, disposition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joint venture or any other like term shall also constitute such a person or entity).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Restriction on Sale or Issuance of Stock of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contain covenants that prevent us from selling, transferring or otherwise disposing of any shares of, or securities convertible into, or options, warrants or rights to subscribe for or purchase shares of, Voting Stock (as defined above in “Description of Notes — Change of Control”) of any of our subsidiaries, nor does it prohibit any subsidiary from issuing any shares of, securities convertible into, or options, warrants or rights to subscribe for or purchase shares of, Voting Stock of such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used in “Description of Notes — Covenants” are defined as follows.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in respect of a Sale and Leaseback Transaction means, at the time of determination, the present value discounted at the rate of interest implicit in the terms of the lease (as determined in good faith by us) of the obligations of the lessee under such lease for net rental payments during the remaining term of the lease (including any period for which such lease has been extended or may, at our option, be extended).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the aggregate amount of our assets (less applicable reserves and other properly deductible items) and our consolidated subsidiaries’ assets after deducting therefrom (a) all current liabilities (excluding any debt for money borrowed having a maturity of less than twelve months from the date of our most recent consolidated balance sheet but which by its terms is renewable or extendable beyond twelve months from such date at the option of the borrower) and (b) all goodwill, trade names, patents, unamortized debt discount and expense and other like intangibles, all as set forth on our most recent consolidated balance sheet and computed in accordance with U.S. generally accepted accounting principles, or GAAP.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debt which matures more than one year from the date of creation, or which is extendable or renewable at the sole option of the obligor so that it may become payable more than one year from such date or which is classified, in accordance with GAAP, as long-term debt on the consolidated balance sheet for the most-recently ended fiscal quarter (or if incurred subsequent to the date of such balance sheet, would have been so classified) of the person for which the determination is being made. Funded Debt does not include (1) obligations created pursuant to leases, (2)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(3) any debt for which money in the amount necessary for the payment or redemption of such debt is deposited in trust either at or before the maturity date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with respect to any Property, any mortgage or deed of trust, pledge, hypothecation, security interest, lien, encumbrance or other security arrangement of any kind or nature on or with respect to such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 than Liens created or imposed under the Employee Retirement Income Security Act of 1974, as amended, or “ERISA”), for taxes, assessments or governmental changes or levies not yet subject to penalties for non-timely payment or Liens for taxes being contested in good faith by appropriate proceedings for which adequate reserves determined in accordance with GAAP have been established (and as to which the Property subject to any such Lien is not yet subject to foreclosure, sale or loss on account thereof);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statutory Liens of landlords and Liens of mechanics, materialmen, warehousemen, carriers and suppliers and other Liens imposed by law or pursuant to customary reservations or retentions of title arising in the ordinary course of business, provided that any such Liens which are material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 (and as to which the Property subject to any such Lien is not yet subject to foreclosure, sale or loss on account thereof); </w:t>
      </w:r>
      <w:r>
        <mc:AlternateContent>
          <mc:Choice Requires="wps">
            <w:drawing>
              <wp:anchor behindDoc="0" distT="863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 than Liens created or imposed under ERISA) incurred or deposits made by us and our subsidiaries in the ordinary course of business in connection with workers’ compensation, unemployment insurance and other types of social security, laws or regulations, or to secure the performance of tenders, statutory obligations, bids, leases, trade or government contracts, surety, indemnification, appeal, performance and return-of-money bonds, letters of credit, bankers acceptances and other similar obligations (exclusive of obligations for the payment of borrowed money), or as security for customs or import duties and related amounts; </w:t>
      </w:r>
      <w:r>
        <mc:AlternateContent>
          <mc:Choice Requires="wps">
            <w:drawing>
              <wp:anchor behindDoc="0" distT="863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connection with attachments or judgments (including judgment or appeal bonds), provided that the judgments secured shall, within 30 days after the entry thereof, have been discharged or execution thereof stayed pending appeal, or shall have been discharged within 30 days after the expiration of any such stay; </w:t>
      </w:r>
      <w:r>
        <mc:AlternateContent>
          <mc:Choice Requires="wps">
            <w:drawing>
              <wp:anchor behindDoc="0" distT="863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indebtedness incurred (including capital leases) to finance the purchase price or cost of construction of Property (or additions, substantial repairs, alterations or substantial improvements thereto), provided that such Liens and the indebtedness secured thereby are incurred within twelve months of the later of acquisition or completion of construction (or addition, repair, alteration or improvement) and full operation thereof; </w:t>
      </w:r>
      <w:r>
        <mc:AlternateContent>
          <mc:Choice Requires="wps">
            <w:drawing>
              <wp:anchor behindDoc="0" distT="863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industrial revenue bonds, pollution control bonds or similar types of tax-exempt bonds; </w:t>
      </w:r>
      <w:r>
        <mc:AlternateContent>
          <mc:Choice Requires="wps">
            <w:drawing>
              <wp:anchor behindDoc="0" distT="863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from deposits with, or the giving of any form of security to, any governmental agency required as a condition to the transaction of business or exercise of any privilege, franchise or license; </w:t>
      </w:r>
      <w:r>
        <mc:AlternateContent>
          <mc:Choice Requires="wps">
            <w:drawing>
              <wp:anchor behindDoc="0" distT="863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rights-of-way, restrictions (including zoning restrictions), minor defects or irregularities in title and other similar charges or encumbrances not, in any material respect, impairing the use of the encumbered Property for its intended purposes; </w:t>
      </w:r>
      <w:r>
        <mc:AlternateContent>
          <mc:Choice Requires="wps">
            <w:drawing>
              <wp:anchor behindDoc="0" distT="863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or subleases granted to others not interfering in any material respect with our business, including our subsidiaries, taken as a whole; </w:t>
      </w:r>
      <w:r>
        <mc:AlternateContent>
          <mc:Choice Requires="wps">
            <w:drawing>
              <wp:anchor behindDoc="0" distT="863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at the time such Property is acquired by us or any of our subsidiaries; </w:t>
      </w:r>
      <w:r>
        <mc:AlternateContent>
          <mc:Choice Requires="wps">
            <w:drawing>
              <wp:anchor behindDoc="0" distT="863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of any person at the time such person becomes one of our subsidiaries; </w:t>
      </w:r>
      <w:r>
        <mc:AlternateContent>
          <mc:Choice Requires="wps">
            <w:drawing>
              <wp:anchor behindDoc="0" distT="863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receivables from customers sold to third parties pursuant to credit arrangements in the ordinary course of business; </w:t>
      </w:r>
      <w:r>
        <mc:AlternateContent>
          <mc:Choice Requires="wps">
            <w:drawing>
              <wp:anchor behindDoc="0" distT="863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this prospectus supplement or any extensions, amendments, renewals, refinancings, replacements or other modifications thereto; </w:t>
      </w:r>
      <w:r>
        <mc:AlternateContent>
          <mc:Choice Requires="wps">
            <w:drawing>
              <wp:anchor behindDoc="0" distT="863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debt of our subsidiaries owed to us or any of our other subsidiaries that is not the subsidiary of the debtor; </w:t>
      </w:r>
      <w:r>
        <mc:AlternateContent>
          <mc:Choice Requires="wps">
            <w:drawing>
              <wp:anchor behindDoc="0" distT="863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any Property created, assumed or otherwise brought into existence in contemplation of the sale or other disposition of the underlying Property, whether directly or indirectly, by way of share disposition or otherwise;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United States of America or any State thereof, or any department, agency or instrumentality or political subdivision thereof, to secure partial, progress, advance or other payments; </w:t>
      </w:r>
      <w:r>
        <mc:AlternateContent>
          <mc:Choice Requires="wps">
            <w:drawing>
              <wp:anchor behindDoc="0" distT="6731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debt of joint ventures in which we or any of our subsidiaries has an interest, to the extent such Liens are on Property of, or equity interests in, such joint ventures; </w:t>
      </w:r>
      <w:r>
        <mc:AlternateContent>
          <mc:Choice Requires="wps">
            <w:drawing>
              <wp:anchor behindDoc="0" distT="6731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Liens on our Property and the Property of our subsidiaries securing debt having an aggregate principal amount (or deemed amount, in the case of Attributable Debt) not to exceed, as of any date of incurrence of such secured debt pursuant to this clause and after giving effect to such incurrence and the application of the proceeds therefrom, the greater of (1) $1.75 billion and (2) 15% of our Consolidated Net Tangible Assets; </w:t>
      </w:r>
      <w:r>
        <mc:AlternateContent>
          <mc:Choice Requires="wps">
            <w:drawing>
              <wp:anchor behindDoc="0" distT="6731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solely by virtue of any statutory or common law provisions relating to banker’s Liens, rights of set-off or similar rights and remedies as to deposit accounts or other funds maintained with a depositary institution; </w:t>
      </w:r>
      <w:r>
        <mc:AlternateContent>
          <mc:Choice Requires="wps">
            <w:drawing>
              <wp:anchor behindDoc="0" distT="6731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from financing statement filings regarding operating leases; </w:t>
      </w:r>
      <w:r>
        <mc:AlternateContent>
          <mc:Choice Requires="wps">
            <w:drawing>
              <wp:anchor behindDoc="0" distT="673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the financing of insurance premiums payable on insurance policies; provided, that such Liens shall only encumber unearned premiums with respect to such insurance, interests in any </w:t>
      </w:r>
      <w:r>
        <mc:AlternateContent>
          <mc:Choice Requires="wps">
            <w:drawing>
              <wp:anchor behindDoc="0" distT="673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guarantee fund relating to such insurance and subject and subordinate to the rights and interests of any loss payee, loss payments which shall reduce such unearned premiums; </w:t>
      </w:r>
      <w:r>
        <mc:AlternateContent>
          <mc:Choice Requires="wps">
            <w:drawing>
              <wp:anchor behindDoc="0" distT="673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cash management obligations (that do not constitute indebtedness), or arising out of conditional sale, title retention, consignment or similar arrangements for sale of goods and contractual rights of set-off relating to purchase orders and other similar arrangements, in each case in the ordinary course of business; and </w:t>
      </w:r>
      <w:r>
        <mc:AlternateContent>
          <mc:Choice Requires="wps">
            <w:drawing>
              <wp:anchor behindDoc="0" distT="673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any property or assets of foreign subsidiaries securing debt of such foreign subsidiaries (but not debt of the Company or any domestic subsidiary); and </w:t>
      </w:r>
      <w:r>
        <mc:AlternateContent>
          <mc:Choice Requires="wps">
            <w:drawing>
              <wp:anchor behindDoc="0" distT="673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debt in an aggregate principal amount at any time outstanding not exceeding $500 million in respect of any arrangement under which we or any of our subsidiaries transfer, once or on a revolving basis, without recourse (except for indemnities and representations customary for securitization transactions and except for the retention of risk in an amount and form required by applicable laws and regulations or as is customary for a similar type of transaction) involving one or more “true sale” transactions, accounts receivable or interests therein and related assets customarily transferred in connection with securitization transactions (i) to a trust, partnership, corporation, limited liability company or other entity, which transfer is funded in whole or in part, directly or indirectly, by the incurrence or issuance by the transferee or successor transferee of indebtedness or other securities that are to receive payments from, or that represent interests in, the cash flow derived from such accounts receivable or interests therein, or (ii) directly to one or more investors or other purchasers. </w:t>
      </w:r>
      <w:r>
        <mc:AlternateContent>
          <mc:Choice Requires="wps">
            <w:drawing>
              <wp:anchor behindDoc="0" distT="673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Property</w:t>
      </w:r>
      <w:r>
        <w:rPr>
          <w:rFonts w:ascii="Times New Roman;Times;serif" w:hAnsi="Times New Roman;Times;serif"/>
          <w:b w:val="false"/>
          <w:i w:val="false"/>
          <w:caps w:val="false"/>
          <w:smallCaps w:val="false"/>
          <w:color w:val="000000"/>
          <w:spacing w:val="4"/>
          <w:sz w:val="20"/>
        </w:rPr>
        <w:t xml:space="preserve">” means any building, structure or other facility, together with the land upon which it is erected and fixtures comprising a part thereof, used primarily for selling automotive parts and accessories or the warehousing or distributing of such products, owned or leased by us or any one of our Significant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Senior Funded Debt</w:t>
      </w:r>
      <w:r>
        <w:rPr>
          <w:rFonts w:ascii="Times New Roman;Times;serif" w:hAnsi="Times New Roman;Times;serif"/>
          <w:b w:val="false"/>
          <w:i w:val="false"/>
          <w:caps w:val="false"/>
          <w:smallCaps w:val="false"/>
          <w:color w:val="000000"/>
          <w:spacing w:val="4"/>
          <w:sz w:val="20"/>
        </w:rPr>
        <w:t xml:space="preserve">” means all Funded Debt of ours or our subsidiaries (except Funded Debt, the payment of which is subordinated to the payment of the debt securities).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Significant Subsidiaries</w:t>
      </w:r>
      <w:r>
        <w:rPr>
          <w:rFonts w:ascii="Times New Roman;Times;serif" w:hAnsi="Times New Roman;Times;serif"/>
          <w:b w:val="false"/>
          <w:i w:val="false"/>
          <w:caps w:val="false"/>
          <w:smallCaps w:val="false"/>
          <w:color w:val="000000"/>
          <w:spacing w:val="4"/>
          <w:sz w:val="20"/>
        </w:rPr>
        <w:t xml:space="preserve">” means any of our subsidiaries that is a “significant subsidiary” as defined in Rule 1-02 of Regulation S-X, promulgated pursuant to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means, with respect to the notes, any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interest upon any such note when it becomes due and payable, and continuance of that default for a period of 30 days (unless the entire amount of the payment is deposited by us with the trustee or with a paying agent prior to the expiration of the 30-day period);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or premium on any such note when due and payable;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deposit of any sinking fund payment, when and as due in respect of any such note and continuance of such default for a period of 30 days;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other covenant or warranty by us in the indenture (other than a covenant or warranty for which the consequences of nonperformance or breach are addressed elsewhere in this paragraph and other than a covenant that has been included in the indenture solely for the benefit of a series of notes other than such series of notes), which default continues uncured for a period of 90 days after we receive written notice from the trustee or we and the trustee receive written notice from the holders of not less than 25% in principal amount of the outstanding notes as provided in the indenture; </w:t>
      </w:r>
      <w:r>
        <mc:AlternateContent>
          <mc:Choice Requires="wps">
            <w:drawing>
              <wp:anchor behindDoc="0" distT="7874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principal when due or resulting in acceleration of our other debt or debt of our Significant Subsidiaries where the aggregate principal amount with respect to which such default or acceleration has occurred exceeds $200 million, provided that such event of default will be cured or waived if the default that resulted in the acceleration of such other indebtedness is cured or waived or such indebtedness is discharged; and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our company or any of our Significant Subsidiaries. </w:t>
      </w:r>
      <w:r>
        <mc:AlternateContent>
          <mc:Choice Requires="wps">
            <w:drawing>
              <wp:anchor behindDoc="0" distT="787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notes (except as to certain events of bankruptcy, insolvency or reorganization) necessarily constitutes an event of default with respect to any other series of notes.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notes of any series at the time outstanding occurs and is continuing, then the trustee or the holders of not less than 25% in principal amount of the outstanding notes of such series may, by a notice in writing to us (and to the trustee if given by the holders), declare to be due and payable immediately the principal of, and accrued and unpaid interest, if any, on all notes of such series. In the case of an event of default resulting from certain events of bankruptcy, insolvency or reorganization, the principal (or such specified amount) of and accrued and unpaid interest, if any, on the notes will become and be immediately due and payable without any declaration or other act on the part of the trustee or any holder of the notes. At any time after a declaration of acceleration with respect to notes of any series has been made, but before a judgment or decree for payment of the money due has been obtained by the trustee, the holders of a majority in principal amount of the notes of such series may rescind and annul the acceleration if all events of default, other than the non-payment of accelerated principal and interest, if any, with respect to notes of such series, have been cured or waived as provided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will be under no obligation to exercise any of its rights or powers under the indenture at the request of any holder of notes, unless the trustee receives indemnity satisfactory to it against any loss, liability or expense. Subject to certain rights of the trustee, the holders of a majority in principal amount of the notes of any series will have the right to direct the time, method and place of conducting any proceeding for any remedy available to the trustee or exercising any trust or power conferred on the trustee with respect to the notes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note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notes of such series; and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principal amount of the notes of such series have made written request, and offered reasonable indemnity, to the trustee to institute the proceeding as trustee, and the trustee has not received from the holders of a majority in principal amount of the notes of such series a direction inconsistent with that request and has failed to institute the proceeding within 60 days.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note will have an absolute and unconditional right to receive payment of the principal of, and any premium and interest on, that note on or after the due dates expressed in that note and to institute suit for the enforcement of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such series) with respect to notes of such series if it in good faith determines that withholding notice is in the interest of the holders of those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supplemental indentures for the purpose of modifying or amending the indenture with respect to the notes with the written consent of holders of at least a majority in aggregate principal amount of notes. However, the consent of each holder affected is required for any amendment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notes whose holders must consent to an amendment or waiver;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(including default interest) on any note;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premium on or change the fixed maturity of any note or reduce the amount of, or postpone the date fixed for, the payment of any sinking fund or analogous obligation with respect to the notes;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discount securities payable upon acceleration of maturity;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the principal of, or premium or interest on, any note (except a rescission of acceleration of the notes by the holders of at least a majority in aggregate principal amount of the then outstanding notes and a waiver of the payment default that resulted from such acceleration as set forth above);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principal of, or premium or interest on, any note payable in currency other than that stated in the note;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certain provisions of the indenture relating to, among other things, the right of holders of notes to receive payment of the principal of, and premium and interest on, those notes and to institute suit for the enforcement of any such payment and waivers of defaults or events of default by holders; or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note.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amend the indenture or the notes, without notice to or the consent of any holder of a note,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or to correct or supplement any provisions contained in the indenture or in any supplemental indenture that may be defective or inconsistent with any provision contained in the indenture or in any supplemental indenture;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indenture’s provisions with respect to successor corporations;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issuance of uncertificated notes in addition to or in place of certificated notes;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the covenants or the events of default for the benefit of holders of the notes or surrender any right or power conferred on us by the indenture;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of the provisions of the indenture in respect of one or more series of notes, provided, however, that any such addition, change or elimination (A) shall neither (1) apply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note of any series created prior to the execution of such amendment and entitled to the benefit of such provision, nor (2) modify the rights of a holder of any such note with respect to such provision, or (B) shall become effective only when there is no outstanding note of any series created prior to such amendment and entitled to the benefit of such provision; </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in any material respect, as evidenced by an officer’s certificate delivered to the trustee (upon which it may fully rely); </w:t>
      </w:r>
      <w:r>
        <mc:AlternateContent>
          <mc:Choice Requires="wps">
            <w:drawing>
              <wp:anchor behindDoc="0" distT="622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the text of the indenture or the notes to any provision of this Description of Notes; </w:t>
      </w:r>
      <w:r>
        <mc:AlternateContent>
          <mc:Choice Requires="wps">
            <w:drawing>
              <wp:anchor behindDoc="0" distT="622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acceptance of appointment by a successor trustee; </w:t>
      </w:r>
      <w:r>
        <mc:AlternateContent>
          <mc:Choice Requires="wps">
            <w:drawing>
              <wp:anchor behindDoc="0" distT="609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additional series of notes as permitted by the indenture; or </w:t>
      </w:r>
      <w:r>
        <mc:AlternateContent>
          <mc:Choice Requires="wps">
            <w:drawing>
              <wp:anchor behindDoc="0" distT="609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requirements of the SEC in order to maintain the qualification of the indenture under the Trust Indenture Act of 1939, as amended. </w:t>
      </w:r>
      <w:r>
        <mc:AlternateContent>
          <mc:Choice Requires="wps">
            <w:drawing>
              <wp:anchor behindDoc="0" distT="609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certain specified provisions, the holders of at least a majority in principal amount of the outstanding notes of any series may on behalf of the holders of all notes of such series waive our compliance with provisions of the indenture. The holders of a majority in principal amount of the outstanding notes of any series may on behalf of the holders of all the notes of such series waive any past default under the indenture with respect to such series and its consequences, except a default in the payment of the principal of, or any premium or interest on, any note of such series or in respect of a covenant or provision, which cannot be modified or amended without the consent of the holder of each outstanding note of the series affected; provided, however, that the holders of a majority in principal amount of the outstanding notes of any series may rescind an acceleration and its consequences, including any related payment default that resulted from the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of Notes and Certain Covenants in Certain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Legal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unless otherwise provided by the terms of the applicable series of notes, we may be discharged from any and all obligations in respect of the notes of any series (except for certain obligations to register the transfer or exchange of notes of such series, to replace stolen, lost or mutilated notes of such series, and to maintain paying agencies and certain provisions relating to the treatment of funds held by paying agents). We will be so discharged upon the deposit with the trustee, in trust, of money and/or U.S. government obligations or, in the case of notes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notes of such series on the stated maturity of those payments in accordance with the terms of the indenture and those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discharge may occur only if, among other things, we have delivered to the trustee an opinion of counsel stating that we have received from, or there has been published by, the United States Internal Revenue Service (the “IRS”) a ruling, or, since the date of execution of the indenture, there has been a change in the applicable United States federal income tax law, in either case to the effect that, and based thereon such opinion shall confirm that, the holders of the notes of such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Defeasance of Certain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unless otherwise provided by the terms of the applicable series of notes, upon compliance with certain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omit to comply with the covenant described under the heading “Description of Notes —  Covenants — Consolidation, Merger and Sale of Assets” and certain other covenants set forth in the indenture; and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omission to comply with those covenants will not constitute a default or an event of default with respect to the notes of such series, or covenant defeasance.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with the trustee money and/or U.S. government obligations or, in the case of notes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notes of such series on the stated maturity of those payments in accordance with the terms of the indenture and those notes; and </w:t>
      </w:r>
      <w:r>
        <mc:AlternateContent>
          <mc:Choice Requires="wps">
            <w:drawing>
              <wp:anchor behindDoc="0" distT="800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to the trustee an opinion of counsel to the effect that the holders of the notes of such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r>
        <mc:AlternateContent>
          <mc:Choice Requires="wps">
            <w:drawing>
              <wp:anchor behindDoc="0" distT="800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 Defeasance and Events of Default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exercise our option to effect covenant defeasance with respect to the notes and the notes are declared due and payable because of the occurrence of any event of default, the amount of money and/or U.S. government obligations or foreign government obligations on deposit with the trustee will be sufficient to pay amounts due on the notes at the time of their stated maturity but may not be sufficient to pay amounts due on the notes at the time of the acceleration resulting from the event of default. In such a case, we would remain liable for those payments.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Foreign government obligations” means, with respect to the notes that are denominated in a currency other than U.S. dollars: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government that issued or caused to be issued such currency for the payment of which obligations its full faith and credit is pledged which are not callable or redeemable at the option of the issuer thereof; or </w:t>
      </w:r>
      <w:r>
        <mc:AlternateContent>
          <mc:Choice Requires="wps">
            <w:drawing>
              <wp:anchor behindDoc="0" distT="800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Satisfaction and Discharge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generally cease to be of any further effect with respect to any series of notes,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for cancellation all outstanding notes of such series (with certain limited exceptions), or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notes of such series not previously delivered to the trustee for cancellation have become due and payable or are by their terms to become due and payable within one year, and we have deposited with the trustee as trust funds the entire amount sufficient to pay all of the outstanding notes,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either case, we also pay or cause to be paid all other sums payable under the indenture by us. </w:t>
      </w:r>
      <w:r>
        <mc:AlternateContent>
          <mc:Choice Requires="wps">
            <w:drawing>
              <wp:anchor behindDoc="0" distT="800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be deemed satisfied and discharged when no notes remain outstanding and when we have paid all other sums payable by us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monies and U.S. government obligations deposited with the trustee for payment of principal of, and interest and premium, if any, on, the notes and not applied but remaining unclaimed by the holders of the notes for two years after the date upon which the principal of, and interest and premium, if any, on, the notes, as the case may be, shall have become due and payable, shall be repaid to us by the trustee on written demand. Thereafter, the holder of such notes may look only to us for payment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in the form of one or more global notes in definitive, fully registered, book-entry form. The global notes will be deposited with or on behalf of DTC and registered in the name of Cede &amp; Co., as nominee of DTC.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 Clearstream and 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r>
        <mc:AlternateContent>
          <mc:Choice Requires="wps">
            <w:drawing>
              <wp:anchor behindDoc="0" distT="7239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other organizations.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owned by a number of its direct participants and by The New York Stock Exchange, Inc. and the Financial Industry Regulatory Authority, Inc. (successor to the National Association of Securities Dealers, Inc.).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Clearstream is incorporated under the laws of Luxembourg as a professional depositary. Clearstream holds securities for its customers and facilitates the clearance and settlement of securities transactions between its customers through electronic book-entry 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Euroclear was created in 1968 to hold securities for participants of Euroclear and to clear and settle transactions between Euroclear participants through simultaneous electronic book-entry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the Euroclear Operator is licensed by the Belgian Banking and Finance Commission to carry out banking activities on a global basis. As a Belgian bank, it is regulated and examined by the Belgian Banking and Finance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provided the descriptions of the operations and procedures of DTC, Clearstream and Euroclear in this prospectus supplement solely as a matter of convenience.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those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with DTC or its custodian, DTC will credit on its internal system the accounts of direct participants designated by the underwriters with portions of the principal amounts of the global notes; and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have any responsibility or liability for any aspect of the records relating to or payments made on account of notes by DTC, Clearstream or Euroclear, or for maintaining, supervising or reviewing any records of those organizations relating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the notes represented by the global notes will be made to DTC or its nominee, as the case may be, as the registered owner thereof. We expect that DTC or its nominee, upon receipt of any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notes held beneficially through Clearstream will be credited to cash accounts of its customers in accordance with its rules and procedures, to the extent received by the U.S. depositary for Clearstream.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notes held beneficially through Euroclear will be credited to the cash accounts of its participants in accordance with the Terms and Conditions, to the extent received by the U.S. depositary for Euroclear.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Clearance and Settlement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registered in the name of each person that DTC identifies as the beneficial owner of the notes represented by a global note upon surrender by DTC of the applicable global note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and DTC requests the issuance of certificated notes; or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(subject to DTC’s procedures) not to have the notes represented by a global note.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create and issue additional notes ranking equally and ratably with the notes and otherwise identical to the notes in all respects (or in all respects except for the issue date and public offering price, the payment of interest accruing prior to the issue date of such additional notes or except, in some cases, for the first payment of interest following the issue date of such additional notes). Such additional notes, if any, will form a single series with the notes offered hereby and will have the same terms as to status, redemption or otherwise as such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Regions Bank (successor in interest to The Bank of New York Mellon Trust Company, N.A., successor in interest to Bank One Trust Company, N.A.) is the trustee under the indenture. We also maintain deposit accounts and conduct other banking transactions with the trustee and its affiliates in the ordinary course of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MUS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material U.S. federal income tax consequences relevant to the purchase, ownership and disposition of the notes, but does not purport to be a complete analysis of all potential tax consequences. The discussion is based upon the Internal Revenue Code of 1986, as amended (the “Code”), the U.S. Treasury Regulations issued thereunder (the “Treasury Regulations”), IRS rulings and pronouncements, and judicial decisions, all as of the date hereof and all of which are subject to change at any time. Any such change may be applied retroactively in a manner that could adversely affect a holder of the notes. We have not sought any ruling from the IRS with respect to the statements made and the conclusions reached in the following discussion, and there can be no assurance that the IRS will agree with such statements and conclusions.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all of the U.S. federal income tax consequences that may be relevant to a holder in light of such holder’s particular circumstances or to holders subject to special rules,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certain former citizens or long-term residents of the United States;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any alternative minimum tax;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currencies;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notes being taken into account in an applicable financial statement;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as part of a “straddle,” “hedge,” “conversion transaction” or other risk reduction transaction; and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discussion is limited to persons purchasing the notes for cash at original issue and at their original “issue price” within the meaning of Section 1273 of the Code (i.e., the first price at which a substantial amount of the notes is sold to the public for cash). Moreover, the effects of other U.S. federal tax laws (such as U.S. federal estate and gift tax laws) and any applicable state, local or foreign tax laws are not discussed. The discussion deals only with notes held as “capital assets” within the meaning of Section 1221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taxable as a partnership holds the notes, the tax treatment of an owner of the partnership generally will depend on the status of the particular owner in question and the activities of the partnership. Owners of any such entity or arrangement should consult their tax advisors as to the specific tax consequences to them of holding the notes indirectly through ownership of such an entity or arrangement.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URGED TO CONSULT YOUR TAX ADVISOR WITH RESPECT TO THE APPLICATION OF THE U.S. FEDERAL INCOME TAX LAWS TO YOUR PARTICULAR SITUATION AS WELL AS ANY TAX CONSEQUENCES OF THE PURCHASE, OWNERSHIP AND DISPOSITION OF THE NOTES ARISING UNDER THE U.S. FEDERAL ESTATE OR GIFT TAX LAWS OR UNDER THE LAWS OF ANY STATE, LOCAL, FOREIGN OR OTHER TAXING JURISDICTION OR UNDER ANY APPLICABLE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material U.S. federal income tax consequences that will apply to you if you are a “U.S. Holder” of a note. As used herein, “U.S. Holder” means a beneficial owner of a note that is for U.S. federal income tax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including an alien individual who is a lawful permanent resident of the United States or meets the “substantial presence” test under Section 7701(b) of the Code; </w:t>
      </w:r>
      <w:r>
        <mc:AlternateContent>
          <mc:Choice Requires="wps">
            <w:drawing>
              <wp:anchor behindDoc="0" distT="8001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8001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U.S. court can exercise primary supervision over the administration of the trust and one or more “United States persons” within the meaning of Section 7701(a)(30) of the Code can control all substantial trust decisions, or, if the trust was in existence on August 20, 1996, and it has elected to continue to be treated as a United States person.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the notes generally will be taxable to a U.S. Holder as ordinary income at the time that such interest is received or accrued, in accordance with such U.S. Holder’s method of tax accounting for U.S. federal income tax purposes. It is anticipated, and this discussion assumes, that the notes will be issued with no more than a de minimis amount of original issue discount or premium, for U.S. federal income tax purposes and will not be treated as issued with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Payments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Notes — Optional Redemption” and “Description of Notes — Change of Control”), we may be obligated to make payments in excess of stated interest and the principal amount of the notes. We intend to take the position that the notes should not be treated as contingent payment debt instruments despite these additional payments. This position is based in part on assumptions regarding the likelihood, as of the date of issuance of the notes, that such additional payments will have to be paid. Assuming such position is respected, any amounts (including such additional payments) paid to a U.S. Holder pursuant to any such redemption or repurchase, as applicable, would be taxable as described below in “Material United States Federal Income Tax Consequences — U.S. Holders — Sale or Other Taxable Disposition of Notes.” Our position is binding on a U.S. Holder unless such holder discloses its contrary position in the manner required by applicable Treasury Regulations. The IRS, however, may take a contrary position, which could affect the timing and character of a U.S. Holder’s income and the timing of our deductions with respect to the notes. U.S. Holders are urged to consult their tax advisors regarding the potential application of the contingent payment debt instrument rules to the notes and the consequences thereof. The remainder of this discussion assumes that the notes are not treated as contingent payment debt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note equal to the difference between the amount realized upon the disposition (less any portion allocable to any accrued and unpaid interest, which will be taxable as interest to the extent not previously included in income) and the U.S. Holder’s adjusted tax basis in the note. A U.S. Holder’s adjusted tax basis in a note generally will be equal to the amount that the U.S. Holder paid for the note less any principal payments received by the U.S. Holder. Any gain or loss will be a capital gain or loss, and will be a long-term capital gain or loss if the U.S. Holder has held the note for more than one year at the time of disposition. Otherwise, such gain or loss will be a short-term capital gain or loss. Long-term capital gains recognized by certain non-corporate U.S. Holders, including individuals, generally will be subject to a reduced tax rate. The deductibility of capital losses is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“Material United States Federal Income Tax Consequences — U.S. Holders — Additional Payments”), we may be obligated to pay amounts in excess of stated interest and principal on the notes. Such payments would be treated as additional amounts paid for the notes and subject to the rules discussed immediately above regarding the sale or other taxable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additional tax at a rate of 3.8% is imposed on the amount of “net investment income,” in the case of an individual, or undistributed “net investment income,” in the case of an estate or trust (other than a charitable trust), which exceeds certain threshold amounts. “Net investment income” as defined for this purpose generally includes interest payments and gain recognized from the sale or other taxable disposition of the notes. Qualified pension trusts, which are not subject to income taxes generally, and foreign individuals are not subject to this tax. U.S. Holders should consult their own tax advisors regarding the effect, if any, of this tax on their ownership and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interest payments on the notes or upon the proceeds received upon the sale or other disposition of such notes (including a redemption or retirement of the notes). Certain holders are not subject to information reporting or backup withholding. A U.S. Holder will be subject to backup withholding if such holder is not otherwise exempt and such holder: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furnish the holder’s taxpayer identification number, or “TIN”, which, for an individual, ordinarily is his or her social security number;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furnishes an incorrect TIN;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notified by the IRS that the holder has previously failed to report properly payments of interest or dividends; or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certify, under penalties of perjury, that the holder has furnished a correct TIN and that the IRS has not notified the holder that the holder is subject to backup withholding.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material U.S. federal income tax consequences that will apply to you if you are a “Non-U.S. Holder” of the notes. A “Non-U.S. Holder” is a beneficial owner of a note that is neither a U.S. Holder nor an entity or arrangement taxable as a partnership for U.S. federal income tax purposes. Special rules may apply to Non-U.S. Holders that are subject to special treatment under the Code, including controlled foreign corporations, passive foreign investment companies, U.S. expatriates,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interest income paid to a Non-U.S. Holder that is not effectively connected with the Non-U.S. Holder’s conduct of a U.S. trade or business is subject to withholding tax at a rate of 30% (or, if applicable, a lower treaty rate). Nevertheless, interest paid on a note to a Non-U.S. Holder that is not effectively connected with the Non-U.S. Holder’s conduct of a U.S. trade or business generally will not be subject to U.S. federal withholding tax provided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does not directly or indirectly, actually or constructively, own 10% or more of the total combined voting power of all classes of our voting stock;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not a controlled foreign corporation that is related to us through actual or constructive stock ownership;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not a bank that received such note on an extension of credit made pursuant to a loan agreement entered into in the ordinary course of its trade or business; and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us or the paying agent generally on IRS Form W-8BEN or W-8BEN-E (as applicable, or a substitute or successor form), under penalties of perjury, that it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Non-U.S. Holder certifies to us or the paying agent under penalties of perjury that it, or the financial institution between it and the Non-U.S. Holder, has received from the Non-U.S. Holder a statement generally on IRS Form W-8BEN-E (or a substitute or successor form), under penalties of perjury, that such holder is not a United States person and provides us or the paying agent with a copy of such statement or (3) the Non-U.S. Holder holds its note directly through a “qualified intermediary” and certain conditions are satisfied.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above conditions are not met, a Non-U.S. Holder generally will be entitled to a reduction in or an exemption from withholding tax on interest if the Non-U.S. Holder provides us or our paying agent with a properly executed (1) IRS Form W-8BEN or W-8BEN-E (as applicable, or a substitute or successor form) claiming an exemption from or reduction of the withholding tax under the benefit of a tax treaty between the United States and the Non-U.S. Holder’s country of residence, or (2) IRS Form W-8ECI stating that interest paid on a note is not subject to withholding tax because it is effectively connected with the conduct by the Non-U.S. Holder of a trade or business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U.S. trade or business (and, if required by an applicable income tax treaty, the Non-U.S. Holder maintains a U.S. permanent establishment to which such interest is attributable), then, although exempt from U.S. federal withholding tax (provided the Non-U.S. Holder provides the appropriate certification), the Non-U.S. Holder generally will be subject to U.S. federal income tax on such interest in the same manner as if such Non-U.S. Holder were a U.S. Holder. In addition, if the Non-U.S. Holder is a foreign corporation, such interest may be subject to a branch profits tax at a rate of 30% or lower applicable treaty rate.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by a Non-U.S. Holder on the sale, exchange, retirement, redemption or other taxable disposition of a note (excluding amounts allocable to accrued but unpaid interest, which generally will be treated as interest and may be subject to the rules discussed above in “Material United States Federal Income Tax Consequences — Non-U.S. Holders — Payments of Interest”) generally will not be subject to U.S. federal income or withholding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required by an applicable income tax treaty, the Non-U.S. Holder maintains a U.S. permanent establishment to which such gain is attributable); or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sale or other taxable disposition, and certain conditions are met.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immediately above will be required to pay U.S. federal income tax on the net gain derived from the sale or other taxable disposition generally in the same manner as if such Non-U.S. Holder were a U.S. Holder, and if such Non-U.S. Holder is a foreign corporation, it may also be required to pay an additional branch profits tax at a 30% rate (or a lower rate if so specified by an applicable income tax treaty). A Non-U.S. Holder described in the second bullet point immediately above will be subject to U.S. federal income tax at a rate of 30% (or, if applicable, a lower treaty rate) on the gain derived from the sale or other taxable disposition, which may be offset by certain U.S. source capital losses, even though the Non-U.S. Holder is not considered a resident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“Material United States Federal Income Tax Consequences — U.S. Holders — Additional Payments”), we may be obligated to pay amounts in excess of stated interest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on the notes. Such payments would be treated as additional amounts paid for the notes and subject to the rules discussed immediately above regarding the sale or other taxable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to a Non-U.S. Holder generally must be reported annually to the holder and the IRS regardless of whether any tax was actually withheld. Copies of these information returns may also be made available under the provisions of a specific treaty or other agreement to the tax authorities of the country in which the Non-U.S. Holder resides. A Non-U.S. Holder generally will not be subject to backup withholding with respect to payments that we or our paying agent make to the Non-U.S. Holder, provided that we or our paying agent, as applicable, do not have actual knowledge or reason to know that such holder is a “United States person,” within the meaning of the Code, and the holder has given us the statement described above under “Material United States Federal Income Tax Consequences — Non-U.S. Holders — Payments of Interest.” In addition, a Non-U.S. Holder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such holder is a United States person or the holder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will be entitled to credit any amounts withheld under the backup withholding rules against the holder’s U.S. federal income tax liability or may claim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or FATCA, imposes a withholding tax on certain types of payments made to non-U.S. financial institutions and certain other non-U.S. entities. Specifically, a 30% withholding tax may be imposed on payments of interest on, or (subject to the proposed regulations discussed below) gross proceeds from the sale or other disposition of,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other IRS guidance, withholding under FATCA generally applies to payments of interest on a note regardless of when such payments are made. The IRS has released proposed regulations providing that these rules will not apply to any gross proceeds. The proposed regulations may presently be relied on; as such, these rules are unlikely to apply to any gross proceeds from the sale or other disposition of a note. If we determine withholding is appropriate with respect to the notes, we will withhold tax at the applicable statutory rate, and we will not pay any additional amounts in respect of such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Prospective investors should consult their tax advisors regarding the potential application of withholding under FATCA to their investment in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N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underwriting agreement dated the date of this prospectus supplement, each underwriter named below, for whom BofA Securities, Inc., J.P. Morgan Securities LLC, Truist Securities, Inc. and U.S. Bancorp Investments, Inc. are acting as representatives, has severally and not jointly agreed to purchase, and we have agreed to sell to that underwriter, the principal amount of notes set forth opposite such underwriter’s name below at the public offering price less the underwriting discount set forth on the cover page of this prospectus supplement: </w:t>
      </w:r>
    </w:p>
    <w:tbl>
      <w:tblPr>
        <w:tblW w:w="6127" w:type="dxa"/>
        <w:jc w:val="left"/>
        <w:tblInd w:w="1393" w:type="dxa"/>
        <w:tblLayout w:type="fixed"/>
        <w:tblCellMar>
          <w:top w:w="0" w:type="dxa"/>
          <w:left w:w="0" w:type="dxa"/>
          <w:bottom w:w="28" w:type="dxa"/>
          <w:right w:w="0" w:type="dxa"/>
        </w:tblCellMar>
      </w:tblPr>
      <w:tblGrid>
        <w:gridCol w:w="3945"/>
        <w:gridCol w:w="109"/>
        <w:gridCol w:w="109"/>
        <w:gridCol w:w="109"/>
        <w:gridCol w:w="226"/>
        <w:gridCol w:w="1366"/>
        <w:gridCol w:w="109"/>
        <w:gridCol w:w="154"/>
      </w:tblGrid>
      <w:tr>
        <w:trPr/>
        <w:tc>
          <w:tcPr>
            <w:tcW w:w="3945" w:type="dxa"/>
            <w:tcBorders>
              <w:bottom w:val="single" w:sz="2" w:space="0" w:color="000000"/>
            </w:tcBorders>
            <w:vAlign w:val="center"/>
          </w:tcPr>
          <w:p>
            <w:pPr>
              <w:pStyle w:val="TableContents"/>
              <w:bidi w:val="0"/>
              <w:spacing w:before="0" w:after="0"/>
              <w:jc w:val="left"/>
              <w:rPr/>
            </w:pPr>
            <w:r>
              <w:rPr>
                <w:spacing w:val="-3"/>
              </w:rPr>
              <w:t>Underwriter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Notes to </w:t>
            </w:r>
            <w:r>
              <w:rPr/>
              <w:br/>
            </w:r>
            <w:r>
              <w:rPr>
                <w:spacing w:val="-3"/>
              </w:rPr>
              <w:t>be Purchased</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128,819,000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128,819,000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128,819,000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128,819,000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128,819,000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42,415,000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42,415,000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BBVA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Capital One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Citizens JMP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Fifth Third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Huntington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KeyBanc Capital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Regions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Santander US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8,525,000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8,525,000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Siebert Williams Shank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1,725,000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366" w:type="dxa"/>
            <w:tcBorders>
              <w:bottom w:val="single" w:sz="2" w:space="0" w:color="000000"/>
            </w:tcBorders>
            <w:shd w:fill="CCEEFF" w:val="clear"/>
            <w:tcMar>
              <w:bottom w:w="35" w:type="dxa"/>
            </w:tcMar>
            <w:vAlign w:val="center"/>
          </w:tcPr>
          <w:p>
            <w:pPr>
              <w:pStyle w:val="TableContents"/>
              <w:bidi w:val="0"/>
              <w:spacing w:before="0" w:after="283"/>
              <w:jc w:val="right"/>
              <w:rPr/>
            </w:pPr>
            <w:r>
              <w:rPr/>
              <w:t>850,000,000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several underwriters to purchase the notes included in this offering be subject to approval of legal matters by counsel and to other conditions, including delivery of customary certificates and opinions. The underwriters are obligated to purchase all the notes if they purchase any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representatives of the underwriters that the underwriters propose to offer the notes directly to the public at the public offering price set forth on the cover page of this prospectus supplement and may offer the notes to dealers at the public offering price less a concession not to exceed 0.350% of the principal amount of the notes. The underwriters may allow, and dealers may reallow, a concession not to exceed 0.250% of the principal amount of the notes. After the initial offering of the notes to the public, the representatives may change the public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underwriting discount that we are to pay to the underwriters in connection with this offering (expressed as a percentage of the principal amount of the notes and in total): </w:t>
      </w:r>
    </w:p>
    <w:tbl>
      <w:tblPr>
        <w:tblW w:w="2863" w:type="dxa"/>
        <w:jc w:val="left"/>
        <w:tblInd w:w="1393" w:type="dxa"/>
        <w:tblLayout w:type="fixed"/>
        <w:tblCellMar>
          <w:top w:w="0" w:type="dxa"/>
          <w:left w:w="0" w:type="dxa"/>
          <w:bottom w:w="28" w:type="dxa"/>
          <w:right w:w="0" w:type="dxa"/>
        </w:tblCellMar>
      </w:tblPr>
      <w:tblGrid>
        <w:gridCol w:w="981"/>
        <w:gridCol w:w="109"/>
        <w:gridCol w:w="109"/>
        <w:gridCol w:w="109"/>
        <w:gridCol w:w="226"/>
        <w:gridCol w:w="1066"/>
        <w:gridCol w:w="109"/>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Paid </w:t>
            </w:r>
            <w:r>
              <w:rPr/>
              <w:br/>
            </w:r>
            <w:r>
              <w:rPr>
                <w:spacing w:val="-3"/>
              </w:rPr>
              <w:t xml:space="preserve">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5,117,000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excluding the underwriting discount, will be approximately $2.4 million, which will be payable by us. We have also agreed to reimburse the underwriters for certain of their expenses in an amount up to $15,000.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debt securities with no established trading market. We do not intend to apply to list the notes on any securities exchange or on any automated dealer quotation system. The underwriters may make a market in the notes after completion of the offering, but will not be obligated to do so and may discontinue any market-making activities at any time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representatives, on behalf of the underwriters, may engage in transactions that stabilize, maintain or otherwise affect the price of the notes. Specifically, the representatives may overallot in connection with the offering, creating a short position. In addition, the representatives may bid for, and purchase, the notes in the open market to cover short positions or to stabilize the price of the notes. Any of these activities may stabilize or maintain the market price of the notes above independent market levels, but no representation is made hereby of the magnitude of any effect that the transactions described above may have on the market price of the notes. The underwriters will not be required to engage in these activities, and may engage in these activities, and may end any of these activities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also may impose a penalty bid. This occurs when a particular underwriter repays to the other underwriters a portion of the underwriting discount received by it because the representatives have repurchased notes sold by or for the account of such underwriter in stabilizing or short covering transactions. 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over-the-counter-market or otherwise. If underwriters commence any of these transactions, they may discontinue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 reimbursement. Certain of the underwriters or their respective affiliates are lenders and/or agents under our existing revolving credit facility and/or other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July 14, 2026, which will be the fifth business day following the date of pricing of the notes (such settlement being referred to as “T+ 5”). Under Rule 15c6-1 under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T+5, to specify an alternate settlement arrangement at the time of any such trade to prevent a failed settlement. Purchasers of the notes who wish to trade the notes prior to such date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2016/97/EU,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approved by an authorized person in the United Kingdom. 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the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has represented and agreed that: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FSMA by the Issuer; </w:t>
      </w:r>
      <w:r>
        <mc:AlternateContent>
          <mc:Choice Requires="wps">
            <w:drawing>
              <wp:anchor behindDoc="0" distT="10160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w:t>
      </w:r>
      <w:r>
        <mc:AlternateContent>
          <mc:Choice Requires="wps">
            <w:drawing>
              <wp:anchor behindDoc="0" distT="0" distB="0" distL="254000" distR="0" simplePos="0" locked="0" layoutInCell="1" allowOverlap="1" relativeHeight="131">
                <wp:simplePos x="0" y="0"/>
                <wp:positionH relativeFrom="column">
                  <wp:align>left</wp:align>
                </wp:positionH>
                <wp:positionV relativeFrom="line">
                  <wp:posOffset>635</wp:posOffset>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10033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U.K.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(the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Prohibition of Offers under the POATRs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it has not made and will not make an offer of the notes which are the subject of this prospectus supplement to the public in the United Kingdom except that it may make an offer: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offer is conditional on the admission of the notes to trading on the London Stock Exchange plc’s main market (in reliance on the exception in paragraph 6(a) of Schedule 1 to the POATRs); </w:t>
      </w:r>
      <w:r>
        <mc:AlternateContent>
          <mc:Choice Requires="wps">
            <w:drawing>
              <wp:anchor behindDoc="0" distT="10033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paragraph 15 of Schedule 1 to the POATRs; </w:t>
      </w:r>
      <w:r>
        <mc:AlternateContent>
          <mc:Choice Requires="wps">
            <w:drawing>
              <wp:anchor behindDoc="0" distT="10033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POATRs) in the United Kingdom, subject to obtaining the prior consent of the relevant Manager or Managers nominated by the Issuer for any such offer; or </w:t>
      </w:r>
      <w:r>
        <mc:AlternateContent>
          <mc:Choice Requires="wps">
            <w:drawing>
              <wp:anchor behindDoc="0" distT="10033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1 of Schedule 1 to the POATRs. </w:t>
      </w:r>
      <w:r>
        <mc:AlternateContent>
          <mc:Choice Requires="wps">
            <w:drawing>
              <wp:anchor behindDoc="0" distT="10033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of notes to the public” in relation to any notes means the communication in any form and by any means of sufficient information on the terms of the offer and the notes to be offered so as to enable an investor to decide to buy or subscribe for the notes and the expression “POATRs” means the Public Offers and Admissions to Trading Regulations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(as defined in Section 4A of the Securities and Futures Act 2001 of Singapore, as modified or amended from time to time (the “SFA”)) pursuant to Section 274 of the SFA; </w:t>
      </w:r>
      <w:r>
        <mc:AlternateContent>
          <mc:Choice Requires="wps">
            <w:drawing>
              <wp:anchor behindDoc="0" distT="10160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 relevant person (as defined in Section 275(2) of the SFA) pursuant to Section 275(1) of the SFA, or any person pursuant to Section 275(1A) of the SFA, and in accordance with the conditions specified in Section 275 of the SFA and (in the case of an accredited investor) Regulation 3 of the Securities and Futures (Class of Investors) Regulations 2018; or </w:t>
      </w:r>
      <w:r>
        <mc:AlternateContent>
          <mc:Choice Requires="wps">
            <w:drawing>
              <wp:anchor behindDoc="0" distT="10160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pursuant to, and in accordance with the conditions of, any other applicable provision of the SFA. </w:t>
      </w:r>
      <w:r>
        <mc:AlternateContent>
          <mc:Choice Requires="wps">
            <w:drawing>
              <wp:anchor behindDoc="0" distT="10160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779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r>
        <mc:AlternateContent>
          <mc:Choice Requires="wps">
            <w:drawing>
              <wp:anchor behindDoc="0" distT="9779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as defined in Section 275(2), or to any person arising from an offer referred to (in the case of that corporation only) in Section 275(1A) (in the case of that trust only) or Section 276(4)(c)(ii) of the SFA; </w:t>
      </w:r>
      <w:r>
        <mc:AlternateContent>
          <mc:Choice Requires="wps">
            <w:drawing>
              <wp:anchor behindDoc="0" distT="97790" distB="0" distL="508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7790" distB="0" distL="508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97790" distB="0" distL="508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97790" distB="0" distL="508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97790" distB="0" distL="508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intended to constitute an offer or solicitation to purchase or invest in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The notes are not intended to be offered, sold or otherwise made available to and should not be offered, sold or otherwise made available to any retail investor in Switzerland. For these purposes, a retail investor means a person who is a retail client as defined in Article 4 of the Swiss Financial Services Act (the “FinSA”). Consequently, no key information document required by the PRIIPS Regulation (or any equivalent document under the FinSA) has been or will be prepared in relation to any notes and therefore, any notes with a derivative character within the meaning of article 86 (2) of the Swiss Financial Services Ordinance may not be offered or recommended to private clients within the meaning of the FinSA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notes nor any other offering material or advertisement relating to the notes may be distributed or published in Australia unless, in each case: </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11430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11430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1143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11430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ASX. </w:t>
      </w:r>
      <w:r>
        <mc:AlternateContent>
          <mc:Choice Requires="wps">
            <w:drawing>
              <wp:anchor behindDoc="0" distT="11430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LEMA"/>
      <w:bookmarkEnd w:id="10"/>
      <w:r>
        <w:rPr>
          <w:rFonts w:ascii="calibri;arial;sans-serif" w:hAnsi="calibri;arial;sans-serif"/>
          <w:b w:val="false"/>
          <w:i w:val="false"/>
          <w:caps w:val="false"/>
          <w:smallCaps w:val="false"/>
          <w:color w:val="000000"/>
          <w:sz w:val="16"/>
        </w:rPr>
        <w:t>​</w:t>
      </w:r>
      <w:bookmarkStart w:id="11" w:name="sEXP"/>
      <w:bookmarkEnd w:id="11"/>
      <w:r>
        <w:rPr>
          <w:rFonts w:ascii="calibri;arial;sans-serif" w:hAnsi="calibri;arial;sans-serif"/>
          <w:b w:val="false"/>
          <w:i w:val="false"/>
          <w:caps w:val="false"/>
          <w:smallCaps w:val="false"/>
          <w:color w:val="000000"/>
          <w:sz w:val="16"/>
        </w:rPr>
        <w:t>​</w:t>
      </w:r>
      <w:bookmarkStart w:id="12" w:name="sWYCF"/>
      <w:bookmarkEnd w:id="12"/>
      <w:r>
        <w:rPr>
          <w:rFonts w:ascii="calibri;arial;sans-serif" w:hAnsi="calibri;arial;sans-serif"/>
          <w:b w:val="false"/>
          <w:i w:val="false"/>
          <w:caps w:val="false"/>
          <w:smallCaps w:val="false"/>
          <w:color w:val="000000"/>
          <w:sz w:val="16"/>
        </w:rPr>
        <w:t>​</w:t>
      </w:r>
      <w:bookmarkStart w:id="13" w:name="sIOC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Bass, Berry &amp; Sims PLC, Nashville, Tennessee. Certain matters of Nevada law with respect to the notes will be passed upon by Brownstein Hyatt Farber Schreck, LLP, Las Vegas, Nevada. Certain legal matters in connection with the offering of the notes will be passed upon for the underwriters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Ernst &amp; Young LLP, our independent registered public accounting firm, has audited our consolidated financial statements included in our Annual Report on Form 10-K for the year ended August 30, 2025, and the effectiveness of our internal control over financial reporting as of August 30, 2025, as set forth in their reports, which are incorporated by reference in this prospectus supplement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unaudited condensed consolidated interim financial information for the twelve week periods ended November 22, 2025 and November 23, 2024, the twelve and twenty-four week periods ended February 14, 2026 and February 15, 2025, and the twelve and thirty-six week periods ended May 9, 2026 and May 10, 2025, incorporated by reference in this prospectus supplement, Ernst &amp; Young LLP reported that they have applied limited procedures in accordance with professional standards for a review of such information. However, their separate reports dated December 19, 2025, March 20, 2026 and June 12, 2026, included in our Quarterly Reports on Form 10-Q for the quarters ended November 22, 2025, February 14, 2026 and May 9, 2026,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a “report” or a “part” of the registration statement prepared or certified by Ernst &amp; Young LLP within the meaning of Sections 7 and 11 of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to the public at the SEC’s website at www.sec.gov. We also make available free of charge through our website our Annual Reports on Form 10-K, Quarterly Reports on Form 10-Q, Current Reports on Form 8-K and amendments to those reports filed or furnished pursuant to Sections 13(a) or 15(d) of the Exchange Act, as well as our definitive proxy statements and Section 16 reports on Forms 3, 4 and 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the NYSE, under the ticker symbol “AZO.” Our web site address is https://www.autozone.com. However, the information located on, or accessible from, our website (or the websites for any of our other brands) is not, and shall not be deemed to be, a part of this prospectus supplement or the accompanying prospectus,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that we filed with the SEC. The full registration statement may be obtained from the SEC or us at the website addresses specified above. Documents establishing the terms of the offered debt securities are filed as exhibits to the registration statement. Statements in this prospectus supplement about these documents are summaries. You should refer to the actual documents for a more complete description of the relevant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reports and documents we file with the SEC, which means that we can disclose important information to you by referring you to another document filed separately with the SEC. The information incorporated by reference is deemed to be part of this prospectus supplement, and information that we file later with the SEC will automatically update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supersede this information. We incorporate by reference into this prospectus supplement the documents set forth below that we have previously filed with the SEC and any future filings made under Sections 13(a), 13(c), 14 or 15(d) of the Exchange Act after the date of this prospectus supplement and prior to the termination of the offering of debt securities offered by this prospectus supplement: </w:t>
      </w:r>
    </w:p>
    <w:p>
      <w:pPr>
        <w:pStyle w:val="TextBody"/>
        <w:bidi w:val="0"/>
        <w:spacing w:lineRule="atLeast" w:line="240" w:before="120" w:after="0"/>
        <w:ind w:left="1993" w:right="0" w:hanging="0"/>
        <w:jc w:val="left"/>
        <w:rPr/>
      </w:pPr>
      <w:hyperlink r:id="rId6">
        <w:r>
          <w:rPr>
            <w:rStyle w:val="InternetLink"/>
          </w:rPr>
          <w:t>our Annual Report on Form 10-K for the fiscal year ended August 30, 2025 (filed with the SEC on October 27,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w:t>
      </w:r>
      <w:hyperlink r:id="rId7">
        <w:r>
          <w:rPr>
            <w:rStyle w:val="InternetLink"/>
          </w:rPr>
          <w:t>our Annual Report on Form 10-K for the year ended August 30, 2025</w:t>
        </w:r>
      </w:hyperlink>
      <w:r>
        <w:rPr>
          <w:rFonts w:ascii="Times New Roman;Times;serif" w:hAnsi="Times New Roman;Times;serif"/>
          <w:b w:val="false"/>
          <w:i w:val="false"/>
          <w:caps w:val="false"/>
          <w:smallCaps w:val="false"/>
          <w:color w:val="000000"/>
          <w:spacing w:val="4"/>
          <w:sz w:val="20"/>
        </w:rPr>
        <w:t xml:space="preserve"> from </w:t>
      </w:r>
      <w:hyperlink r:id="rId8">
        <w:r>
          <w:rPr>
            <w:rStyle w:val="InternetLink"/>
          </w:rPr>
          <w:t>our Definitive Proxy Statement on Schedule 14A for the Annual Meeting of Stockholders held on December 17, 2025</w:t>
        </w:r>
      </w:hyperlink>
      <w:r>
        <w:rPr>
          <w:rFonts w:ascii="Times New Roman;Times;serif" w:hAnsi="Times New Roman;Times;serif"/>
          <w:b w:val="false"/>
          <w:i w:val="false"/>
          <w:caps w:val="false"/>
          <w:smallCaps w:val="false"/>
          <w:color w:val="000000"/>
          <w:spacing w:val="4"/>
          <w:sz w:val="20"/>
        </w:rPr>
        <w:t xml:space="preserve"> (filed with the SEC on October 28, 2025);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for on Form 10-Q for the quarters ended </w:t>
      </w:r>
      <w:hyperlink r:id="rId9">
        <w:r>
          <w:rPr>
            <w:rStyle w:val="InternetLink"/>
          </w:rPr>
          <w:t>November 22, 2025</w:t>
        </w:r>
      </w:hyperlink>
      <w:r>
        <w:rPr>
          <w:rFonts w:ascii="Times New Roman;Times;serif" w:hAnsi="Times New Roman;Times;serif"/>
          <w:b w:val="false"/>
          <w:i w:val="false"/>
          <w:caps w:val="false"/>
          <w:smallCaps w:val="false"/>
          <w:color w:val="000000"/>
          <w:spacing w:val="4"/>
          <w:sz w:val="20"/>
        </w:rPr>
        <w:t xml:space="preserve"> (filed with the SEC on December 19, 2025), </w:t>
      </w:r>
      <w:hyperlink r:id="rId10">
        <w:r>
          <w:rPr>
            <w:rStyle w:val="InternetLink"/>
          </w:rPr>
          <w:t>February 14, 2026</w:t>
        </w:r>
      </w:hyperlink>
      <w:r>
        <w:rPr>
          <w:rFonts w:ascii="Times New Roman;Times;serif" w:hAnsi="Times New Roman;Times;serif"/>
          <w:b w:val="false"/>
          <w:i w:val="false"/>
          <w:caps w:val="false"/>
          <w:smallCaps w:val="false"/>
          <w:color w:val="000000"/>
          <w:spacing w:val="4"/>
          <w:sz w:val="20"/>
        </w:rPr>
        <w:t xml:space="preserve"> (filed with the SEC on March 20, 2026) and </w:t>
      </w:r>
      <w:hyperlink r:id="rId11">
        <w:r>
          <w:rPr>
            <w:rStyle w:val="InternetLink"/>
          </w:rPr>
          <w:t>May 9, 2026</w:t>
        </w:r>
      </w:hyperlink>
      <w:r>
        <w:rPr>
          <w:rFonts w:ascii="Times New Roman;Times;serif" w:hAnsi="Times New Roman;Times;serif"/>
          <w:b w:val="false"/>
          <w:i w:val="false"/>
          <w:caps w:val="false"/>
          <w:smallCaps w:val="false"/>
          <w:color w:val="000000"/>
          <w:spacing w:val="4"/>
          <w:sz w:val="20"/>
        </w:rPr>
        <w:t xml:space="preserve"> (filed with the SEC on June 12, 2026); and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2">
        <w:r>
          <w:rPr>
            <w:rStyle w:val="InternetLink"/>
          </w:rPr>
          <w:t>October 8,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June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that we furnish under Items 2.02 and 7.01 of any Current Report on Form 8-K, including the related exhibits under Item 9.01, is not incorporated by reference in this prospectus supplement, the accompanying prospectus or the registration statement of which this document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upon written or oral request, a copy of any or all of the documents described above, except for exhibits to those documents, unless the exhibits are specifically incorporated by reference into those documents. Requests should be addressed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AutoZone,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123 South Front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Memphis, Tennessee 38103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(901) 495-6500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52675" cy="285750"/>
            <wp:effectExtent l="0" t="0" r="0" b="0"/>
            <wp:docPr id="1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 descr=""/>
                    <pic:cNvPicPr>
                      <a:picLocks noChangeAspect="1" noChangeArrowheads="1"/>
                    </pic:cNvPicPr>
                  </pic:nvPicPr>
                  <pic:blipFill>
                    <a:blip r:embed="rId15"/>
                    <a:stretch>
                      <a:fillRect/>
                    </a:stretch>
                  </pic:blipFill>
                  <pic:spPr bwMode="auto">
                    <a:xfrm>
                      <a:off x="0" y="0"/>
                      <a:ext cx="2352675" cy="2857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debt securities from time to time in one or more offerings. This prospectus provides you with a general description of the debt securities that we may offer. We may offer and sell debt securities to or through one or more underwriters, dealers and agents, or directly to purchasers, on a continued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123 South Front Street, Memphis, Tennessee 38103, and our telephone number is (901) 495-6500.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the debt securities we offer, and the manner in which they are being offered, in supplements to this prospectus. Our debt securities cannot be sold unless this prospectus is accompanied by a prospectus supplement. You should read this prospectus and any prospectus supplement carefully before you invest.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debt securities involves certain risks. Before buying our debt securities, you should refer to the risks and uncertainties referenced under the heading “Risk Factors” on page </w:t>
      </w:r>
      <w:hyperlink w:anchor="bRIFA">
        <w:r>
          <w:rPr>
            <w:rStyle w:val="InternetLink"/>
          </w:rPr>
          <w:t>1</w:t>
        </w:r>
      </w:hyperlink>
      <w:r>
        <w:rPr>
          <w:rFonts w:ascii="Times New Roman;Times;serif" w:hAnsi="Times New Roman;Times;serif"/>
          <w:b/>
          <w:i w:val="false"/>
          <w:caps w:val="false"/>
          <w:smallCaps w:val="false"/>
          <w:color w:val="000000"/>
          <w:spacing w:val="-4"/>
          <w:sz w:val="20"/>
        </w:rPr>
        <w:t xml:space="preserve"> of this prospectus as well as those contained in the applicable prospectus supplement and any related free writing prospectus, and in the documents that are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debt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prospectus is July 7,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 dealer, salesperson or other person to give any information or to make any representation other than those contained or incorporated by reference in this prospectus and the accompanying prospectus supplement or any associated “free writing prospectus.” We take no responsibility for, and can provide no assurance as to the reliability of, any other information others may give you, and caution you not to rely on such information. In this prospectus, any reference to an applicable prospectus supplement may refer to a “free writing prospectus,” unless the context otherwise requires. This prospectus and the accompanying prospectus supplement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rely only on the information contained or incorporated by reference in this prospectus, in any accompanying prospectus supplement or in any free writing prospectus filed by us with the SEC. You should not assume that the information contained in this prospectus and any accompanying prospectus supplement is accurate on any date subsequent to the date set forth on the front of the document.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we refer to “we,” “our” and “us” in this prospectus, we mean AutoZone, Inc., including, unless the context otherwise requires or as otherwise expressly stated, our subsidiaries. When we refer to “you” or “yours,” we mean the purchasers of the applicable debt securities.</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04" w:type="dxa"/>
        <w:jc w:val="left"/>
        <w:tblInd w:w="1393" w:type="dxa"/>
        <w:tblLayout w:type="fixed"/>
        <w:tblCellMar>
          <w:top w:w="0" w:type="dxa"/>
          <w:left w:w="0" w:type="dxa"/>
          <w:bottom w:w="28" w:type="dxa"/>
          <w:right w:w="0" w:type="dxa"/>
        </w:tblCellMar>
      </w:tblPr>
      <w:tblGrid>
        <w:gridCol w:w="7012"/>
        <w:gridCol w:w="109"/>
        <w:gridCol w:w="109"/>
        <w:gridCol w:w="110"/>
        <w:gridCol w:w="110"/>
        <w:gridCol w:w="290"/>
        <w:gridCol w:w="110"/>
        <w:gridCol w:w="154"/>
      </w:tblGrid>
      <w:tr>
        <w:trPr/>
        <w:tc>
          <w:tcPr>
            <w:tcW w:w="70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ABOUT THIS PROSPECTUS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WYCF">
              <w:r>
                <w:rPr>
                  <w:rStyle w:val="InternetLink"/>
                  <w:spacing w:val="-4"/>
                </w:rPr>
                <w:t>WHERE YOU CAN FIND MORE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WYCF">
              <w:r>
                <w:rPr>
                  <w:rStyle w:val="InternetLink"/>
                  <w:spacing w:val="-4"/>
                </w:rPr>
                <w:t>ii</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INCORPORATION OF CERTAIN DOCUMENTS BY REFERENCE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ii</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AUIN">
              <w:r>
                <w:rPr>
                  <w:rStyle w:val="InternetLink"/>
                  <w:spacing w:val="-4"/>
                </w:rPr>
                <w:t>AUTOZONE, INC.</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AUIN">
              <w:r>
                <w:rPr>
                  <w:rStyle w:val="InternetLink"/>
                  <w:spacing w:val="-4"/>
                </w:rPr>
                <w:t>1</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RIFA">
              <w:r>
                <w:rPr>
                  <w:rStyle w:val="InternetLink"/>
                  <w:spacing w:val="-4"/>
                </w:rPr>
                <w:t>RISK FACTORS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RIFA">
              <w:r>
                <w:rPr>
                  <w:rStyle w:val="InternetLink"/>
                  <w:spacing w:val="-4"/>
                </w:rPr>
                <w:t>1</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FOST">
              <w:r>
                <w:rPr>
                  <w:rStyle w:val="InternetLink"/>
                  <w:spacing w:val="-4"/>
                </w:rPr>
                <w:t>FORWARD-LOOKING STATEMENTS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USE OF PROCEEDS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2</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DODS">
              <w:r>
                <w:rPr>
                  <w:rStyle w:val="InternetLink"/>
                  <w:spacing w:val="-4"/>
                </w:rPr>
                <w:t>DESCRIPTION OF DEBT SECURITIES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DODS">
              <w:r>
                <w:rPr>
                  <w:rStyle w:val="InternetLink"/>
                  <w:spacing w:val="-4"/>
                </w:rPr>
                <w:t>2</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POD">
              <w:r>
                <w:rPr>
                  <w:rStyle w:val="InternetLink"/>
                  <w:spacing w:val="-4"/>
                </w:rPr>
                <w:t>PLAN OF DISTRIBUTION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POD">
              <w:r>
                <w:rPr>
                  <w:rStyle w:val="InternetLink"/>
                  <w:spacing w:val="-4"/>
                </w:rPr>
                <w:t>6</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LEMA">
              <w:r>
                <w:rPr>
                  <w:rStyle w:val="InternetLink"/>
                  <w:spacing w:val="-4"/>
                </w:rPr>
                <w:t>LEGAL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LEMA">
              <w:r>
                <w:rPr>
                  <w:rStyle w:val="InternetLink"/>
                  <w:spacing w:val="-4"/>
                </w:rPr>
                <w:t>7</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283"/>
              <w:jc w:val="left"/>
              <w:rPr/>
            </w:pPr>
            <w:hyperlink w:anchor="bEXP">
              <w:r>
                <w:rPr>
                  <w:rStyle w:val="InternetLink"/>
                  <w:spacing w:val="-4"/>
                </w:rPr>
                <w:t>EXPERTS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7</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ATP"/>
      <w:bookmarkEnd w:id="15"/>
      <w:r>
        <w:rPr>
          <w:rFonts w:ascii="calibri;arial;sans-serif" w:hAnsi="calibri;arial;sans-serif"/>
          <w:b w:val="false"/>
          <w:i w:val="false"/>
          <w:caps w:val="false"/>
          <w:smallCaps w:val="false"/>
          <w:color w:val="000000"/>
          <w:sz w:val="16"/>
        </w:rPr>
        <w:t>​</w:t>
      </w:r>
      <w:bookmarkStart w:id="16" w:name="bWYCF"/>
      <w:bookmarkEnd w:id="16"/>
      <w:r>
        <w:rPr>
          <w:rFonts w:ascii="calibri;arial;sans-serif" w:hAnsi="calibri;arial;sans-serif"/>
          <w:b w:val="false"/>
          <w:i w:val="false"/>
          <w:caps w:val="false"/>
          <w:smallCaps w:val="false"/>
          <w:color w:val="000000"/>
          <w:sz w:val="16"/>
        </w:rPr>
        <w:t>​</w:t>
      </w:r>
      <w:bookmarkStart w:id="17" w:name="bIOC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 as a “well-known seasoned issuer” as defined in Rule 405 under the Securities Act of 1933, as amended, or the Securities Act. Under this shelf registration, we may sell the debt securities described in this prospectus in one or more offerings. This prospectus only provides you with a general description of the debt securities that we may offer. Each time we sell debt securities, we will provide a supplement to this prospectus that contains specific information about the terms of the debt securities being sold. The prospectus supplement may also add, update or change information contained in this prospectus, and accordingly, to the extent inconsistent, information in this prospectus is superseded by the information in the prospectus supplement. Before purchasing any debt securities, you should carefully read both this prospectus and any prospectus supplement, together with the additional information described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to the public at the SEC’s website at www.sec.gov. We also make available free of charge through our website our Annual Reports on Form 10-K, Quarterly Reports on Form 10-Q, Current Reports on Form 8-K and amendments to those reports filed or furnished pursuant to Sections 13(a) or 15(d) of the Securities Exchange Act of 1934, as amended, or the Exchange Act, as well as our definitive proxy statements and Section 16 reports on Forms 3, 4 and 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ticker symbol “AZO.” Our web site address is https://www.autozone.com. However, the information located on, or accessible from, our website (or the websites for any of our other brands) is not, and shall not be deemed to be, a part of this prospectus or any accompanying prospectus supplement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The full registration statement may be obtained from the SEC or us at the website addresses specified above. Documents establishing the terms of the offered debt securities are filed as exhibits to the registration statement. Statements in this prospectus about these documents are summaries. You should refer to the actual documents for a more complete description of the relevant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reports and documents we file with the SEC,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We incorporate by reference into this prospectus the documents set forth below that we have previously filed with the SEC and any future filings made under Sections 13(a), 13(c), 14 or 15(d) of the Exchange Act, after the date of this prospectus and prior to the termination of the offering of debt securities offered by this prospectus: </w:t>
      </w:r>
    </w:p>
    <w:p>
      <w:pPr>
        <w:pStyle w:val="TextBody"/>
        <w:bidi w:val="0"/>
        <w:spacing w:lineRule="atLeast" w:line="240" w:before="132"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6">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(filed with the SEC on October 27, 2025); </w:t>
      </w:r>
      <w:r>
        <mc:AlternateContent>
          <mc:Choice Requires="wps">
            <w:drawing>
              <wp:anchor behindDoc="0" distT="8382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7">
        <w:r>
          <w:rPr>
            <w:rStyle w:val="InternetLink"/>
          </w:rPr>
          <w:t>Proxy Statement on Schedule 14A</w:t>
        </w:r>
      </w:hyperlink>
      <w:r>
        <w:rPr>
          <w:rFonts w:ascii="Times New Roman;Times;serif" w:hAnsi="Times New Roman;Times;serif"/>
          <w:b w:val="false"/>
          <w:i w:val="false"/>
          <w:caps w:val="false"/>
          <w:smallCaps w:val="false"/>
          <w:color w:val="000000"/>
          <w:spacing w:val="4"/>
          <w:sz w:val="20"/>
        </w:rPr>
        <w:t xml:space="preserve"> (filed with the SEC on October 28, 2025) for the Annual Meeting of Stockholders held on December 17, 2025; </w:t>
      </w:r>
      <w:r>
        <mc:AlternateContent>
          <mc:Choice Requires="wps">
            <w:drawing>
              <wp:anchor behindDoc="0" distT="889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November 22, 2025 (filed with the SEC on </w:t>
      </w:r>
      <w:hyperlink r:id="rId18">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February 14, 2026 (filed with the SEC on </w:t>
      </w:r>
      <w:hyperlink r:id="rId19">
        <w:r>
          <w:rPr>
            <w:rStyle w:val="InternetLink"/>
          </w:rPr>
          <w:t>March 20, 2026</w:t>
        </w:r>
      </w:hyperlink>
      <w:r>
        <w:rPr>
          <w:rFonts w:ascii="Times New Roman;Times;serif" w:hAnsi="Times New Roman;Times;serif"/>
          <w:b w:val="false"/>
          <w:i w:val="false"/>
          <w:caps w:val="false"/>
          <w:smallCaps w:val="false"/>
          <w:color w:val="000000"/>
          <w:spacing w:val="4"/>
          <w:sz w:val="20"/>
        </w:rPr>
        <w:t xml:space="preserve">) and May 9, 2026 (filed with the SEC on </w:t>
      </w:r>
      <w:hyperlink r:id="rId20">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1">
        <w:r>
          <w:rPr>
            <w:rStyle w:val="InternetLink"/>
          </w:rPr>
          <w:t>October 8, 2025</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and </w:t>
      </w:r>
      <w:hyperlink r:id="rId23">
        <w:r>
          <w:rPr>
            <w:rStyle w:val="InternetLink"/>
          </w:rPr>
          <w:t>June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that we furnish under Items 2.02 and 7.01 of any Current Report on Form 8-K, including the related exhibits under Item 9.01, is not incorporated by reference in this prospectus, the registration statement of which this prospectus is a part,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upon written or oral request, a copy of any or all of the documents described above, except for exhibits to those documents, unless the exhibits are specifically incorporated by reference into those documents. Requests should be addressed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AutoZone,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123 South Front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Memphis, Tennessee 38103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(901) 495-6500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UIN"/>
      <w:bookmarkEnd w:id="18"/>
      <w:r>
        <w:rPr>
          <w:rFonts w:ascii="calibri;arial;sans-serif" w:hAnsi="calibri;arial;sans-serif"/>
          <w:b w:val="false"/>
          <w:i w:val="false"/>
          <w:caps w:val="false"/>
          <w:smallCaps w:val="false"/>
          <w:color w:val="000000"/>
          <w:sz w:val="16"/>
        </w:rPr>
        <w:t>​</w:t>
      </w:r>
      <w:bookmarkStart w:id="19" w:name="bRIFA"/>
      <w:bookmarkEnd w:id="19"/>
      <w:r>
        <w:rPr>
          <w:rFonts w:ascii="calibri;arial;sans-serif" w:hAnsi="calibri;arial;sans-serif"/>
          <w:b w:val="false"/>
          <w:i w:val="false"/>
          <w:caps w:val="false"/>
          <w:smallCaps w:val="false"/>
          <w:color w:val="000000"/>
          <w:sz w:val="16"/>
        </w:rPr>
        <w:t>​</w:t>
      </w:r>
      <w:bookmarkStart w:id="20" w:name="b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AUTOZONE,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leading retailer and distributor of automotive replacement parts and accessories in the Americas. We began operations in 1979 and at May 9, 2026, operated 6,766 stores in the United States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offices are located at 123 South Front Street, Memphis, Tennessee 38103, and our telephone number is (901) 495-6500. AutoZone, Inc. is a Nevada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debt securities involves a certain degree of risk. You should carefully consider the factors contained in Item 1A under Part 1 of our Annual Report on Form 10-K for the fiscal year ended August 30, 2025,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 after the date of this prospectus before deciding to invest in our securities. If any of these risks were to occur, our business, financial condition or results of operations could be adversely affected. When we offer and sell any securities pursuant to a prospectus supplement, we may include additional risk factors relevant to such securities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included or incorporated by reference in this prospectus are forward-looking statements (as the term is defined in Section 27A of the Securities Act and Section 21E of the Exchange Act) and constitute the Company’s cautionary statements under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Annual Report on Form 10-K for the year ended August 30, 2025. Forward-looking statements are not guarantees of future performance and actual results may differ materially from those contemplated by such forward-looking statements. Events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UOP"/>
      <w:bookmarkEnd w:id="21"/>
      <w:r>
        <w:rPr>
          <w:rFonts w:ascii="calibri;arial;sans-serif" w:hAnsi="calibri;arial;sans-serif"/>
          <w:b w:val="false"/>
          <w:i w:val="false"/>
          <w:caps w:val="false"/>
          <w:smallCaps w:val="false"/>
          <w:color w:val="000000"/>
          <w:sz w:val="16"/>
        </w:rPr>
        <w:t>​</w:t>
      </w:r>
      <w:bookmarkStart w:id="22" w:name="bDOD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the “Risk Factors”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a prospectus supplement, we intend to use the net proceeds from the sale of the debt securities offered hereby for general corporate purposes, including repaying, redeeming or repurchasing outstanding debt and for working capital, capital expenditures, new store or distribution center openings, stock repurchases and acquisitions. We may invest funds not required immediately for such purposes in short-term, interest-bearing and other investment-grade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text describes the general terms and provisions of debt securities that we may offer from time to time.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In this section entitled “Description of Debt Securities,” references to “we,” “us,” “our,” and “AutoZone” include only AutoZone, Inc. and not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 Subordination”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dated as of August 8, 2003, as supplemented, between us and Regions Bank, as successor trustee to The Bank of New York Mellon Trust Company, N.A. The indenture, as supplemented, is referred to in this prospectus as the “indenture.” The indenture describes the terms of the debt securities and does not limit the amount of debt securities or other unsecured, senior debt we may issue. We have summarized the general terms and provisions of the debt securities to be governed by the indenture. The summary is not complete and is subject to, and qualified in its entirety by reference to, all provisions of the indenture and the Trust Indenture Act of 1939, as amended, or the Trust Indenture Act. The indenture, as supplemented, has been incorporated by reference as an exhibit to the registration statement that we have filed with the SEC, of which this prospectus forms a part. We encourage you to read the indenture. Capitalized terms used in this description of our debt securities have the meanings specified in the indenture.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our board of directors (the “Board”) or a committee thereof and set forth or determined in the manner provided in an officers’ certificate or by a supplemental indenture. The particular terms of each series of debt securities will be described in a prospectus supplement relating to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debt securities under the indenture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 following terms of such debt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we will pay the principal on the debt securities;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premium and interest on, the debt securities will be payable;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upon which we may redeem the debt securities;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 or at the option of a holder of debt securities;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only” form;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entire principal amount;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and premium and interest on, the debt securities will be made;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collateral securing or guarantees of payments of principal of, or premium or interest on, the debt securities;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described in this prospectus or in the indenture with respect to the debt securities;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including the conversion price, the conversion period, provisions as to whether conversion will be mandatory, at the option of the holder or at our option, the events requiring an adjustment of the conversion price and provisions affecting conversion if such series of debt securities are redeemed;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debt securities or subordinated debt securities and, if applicable, a description of the subordination terms thereof;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depositories, interest rate calculation agents, exchange rate calculation agents or other agents with respect to the debt securities; and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delete, supplement or add to any provision of the indenture as it applies to that series.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register the transfer of, or exchange debt securities for the period beginning at the opening of business fifteen days immediately preceding the mailing of a notice of redemption of debt securities selected for redemption and ending at the close of business on the day of such mailing; 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the transfer of or exchange of debt securities selected, called or being called for redemption as a whole or the portion being redeemed of any such security selected, called or being called for redemption in part.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debt securities will rank equally with all our other unsecured and unsubordinated indebtedness.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subordination provisions for a series of subordinated debt securities will be set forth in the applicable prospectus supplement and in the subordinated debt securities themselves or a resolution of the Board, a supplemental indenture or an officers’ certificate.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February 8, 2019, Regions Bank has served as the trustee under the indenture. Notice to the trustee should be directed to its Corporate Trust Services Office, located at 1180 West Peachtree Street, Suite 1200, Atlanta, Georgia 30309, Attention: Corporate Trust Services. Prior to February 8, 2019, The Bank of New York Mellon Trust Company, N.A., served as the trustee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shall occur (and be continuing), the trustee will be required, in the exercise of its rights and powers, to use the degree of care and skill of a prudent person in the conduct of such person’s affairs. Subject to such provision, the trustee will be under no obligation to exercise any of its rights or powers under the indenture at the request of any of the holders of the debt securities issued thereunder, unless they have offered to the trustee indemnity satisfactory to it.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PO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described in this prospectus from time to time in one or more transactions: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purchasers directly;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underwriters for public offering and sale by them; </w:t>
      </w:r>
      <w:r>
        <mc:AlternateContent>
          <mc:Choice Requires="wps">
            <w:drawing>
              <wp:anchor behindDoc="0" distT="8255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8255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or </w:t>
      </w:r>
      <w:r>
        <mc:AlternateContent>
          <mc:Choice Requires="wps">
            <w:drawing>
              <wp:anchor behindDoc="0" distT="8255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foregoing methods of sale. </w:t>
      </w:r>
      <w:r>
        <mc:AlternateContent>
          <mc:Choice Requires="wps">
            <w:drawing>
              <wp:anchor behindDoc="0" distT="8255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distribute the debt securities from time to time in one or more transactions 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8255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or </w:t>
      </w:r>
      <w:r>
        <mc:AlternateContent>
          <mc:Choice Requires="wps">
            <w:drawing>
              <wp:anchor behindDoc="0" distT="8255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8255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directly to institutional investors or others who may be deemed to be underwriters within the meaning of the Securities Act with respect to any resale of the debt securities. A prospectus supplement will describe the terms of any sale of debt securities we are offering hereunder. Direct sales may be arranged by a securities broker-dealer or other financial intermediary.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name any underwriter involved in a sale of debt securities. Underwriters may offer and sell debt securities at a fixed price or prices, which may be changed, or from time to time at market prices or at negotiated prices. Underwriters may be deemed to have received compensation from us from sales of debt securities in the form of underwriting discounts or commissions and may also receive commissions from purchasers of debt securities for whom they may act as agent. Underwriters may be involved in any at the market offering of debt securities by or on our behalf.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obligations of any underwriters to purchase debt securities will be subject to certain conditions precedent, and the underwriters will be obligated to purchase all the debt securities if any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whether or not underwriters may over-allot or effect transactions that stabilize, maintain or otherwise affect the market price of the debt securities at levels above those that might otherwise prevail in the open market, including, for example, by entering stabilizing bids, effecting syndicate covering transactions or imposing penalty bids.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Through Agents and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a sale of debt securities, as well as any commissions payable by us to such agent, in a prospectus supplement. Unless we state otherwise in the applicable prospectus supplement, any such agent will be acting on a reasonable 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utilize a dealer in the sale of the debt securities being offered pursuant to this prospectus, we will sell the debt securities to the dealer, as principal. The dealer may then resell the debt securities to the public at varying prices to be determined by the dealer at the time of resale.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LEMA"/>
      <w:bookmarkEnd w:id="24"/>
      <w:r>
        <w:rPr>
          <w:rFonts w:ascii="calibri;arial;sans-serif" w:hAnsi="calibri;arial;sans-serif"/>
          <w:b w:val="false"/>
          <w:i w:val="false"/>
          <w:caps w:val="false"/>
          <w:smallCaps w:val="false"/>
          <w:color w:val="000000"/>
          <w:sz w:val="16"/>
        </w:rPr>
        <w:t>​</w:t>
      </w:r>
      <w:bookmarkStart w:id="25" w:name="bEX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specify in the applicable prospectus supplement, we will authorize underwriters, dealers and agents to solicit offers by certain institutions to purchase the debt securities pursuant to contracts providing for payment and delivery on future dates. Such contracts will be subject to only those conditions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will not be responsible for the validity or performance of the contracts. We will set forth in the prospectus supplement relating to the contracts the price to be paid for the debt securities, the commissions payable for solicitation of the contracts and the date in the future for delivery of the debt securities.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agents, dealers or managing underwriters, and of any underwriters, involved in the sale of the debt securities under this prospectus and the applicable agent’s commission, dealer’s purchase price or underwriter’s discount or commission as well as the net proceeds to us from the sale of debt securities will be set forth in a prospectus supplement. Any underwriting compensation paid by us to underwriters or agents in connection with the offering of debt securities and any discounts, concessions or commissions allowed by underwriters to participating dealers will be set forth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participating in a sale of the debt securities may be deemed to be underwriters as defined in the Securities Act, and any discounts and commissions received by them and any profit realized by them on resale of the debt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and their affiliates may be customers of, engage in transactions with or perform services for us or our affiliates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 prospectus supplement, we will not list the debt securities on any securities exchange. The debt securities will be a new issue of securities with no established trading market. Any underwriters that purchase the debt securities for public offering and sale may make a market in such debt securities, but such underwriters will not be obligated to do so and may discontinue any market making at any time without notice. We make no assurance as to the liquidity of or the trading markets for any debt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debt securities offered hereby will be passed upon for us by Bass, Berry &amp; Sims PLC, Nashville, Tennessee. Certain other matters of Nevada law with respect to the debt securities offered hereby will be passed upon for us by Brownstein Hyatt Farber Schreck, LLP, Las Vegas, Nevada. Legal counsel to any underwriters may pass upon legal matters for such underwriters.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24">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and the effectiveness of our internal control over financial reporting as of August 30, 2025,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unaudited condensed consolidated interim financial information for the twelve week periods ended November 22, 2025 and November 23, 2024, the twelve and twenty-four week periods ended February 14, 2026 and February 15, 2025, and the twelve and thirty-six week periods ended May 9, 2026 and May 10, 2025, incorporated by reference in this prospectus, Ernst &amp; Young LLP reported that they have applied limited procedures in accordance with professional standards for a review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pPr>
      <w:r>
        <w:rPr>
          <w:rFonts w:ascii="Times New Roman;Times;serif" w:hAnsi="Times New Roman;Times;serif"/>
          <w:b w:val="false"/>
          <w:i w:val="false"/>
          <w:caps w:val="false"/>
          <w:smallCaps w:val="false"/>
          <w:color w:val="000000"/>
          <w:spacing w:val="4"/>
          <w:sz w:val="20"/>
        </w:rPr>
        <w:t xml:space="preserve">information. However, their separate reports dated December 19, 2025, March 20, 2026 and June 12, 2026, included in our Quarterly Reports on Form 10-Q for the quarters ended </w:t>
      </w:r>
      <w:hyperlink r:id="rId25">
        <w:r>
          <w:rPr>
            <w:rStyle w:val="InternetLink"/>
          </w:rPr>
          <w:t>November 22, 2025</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February 14, 2026</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May 9, 2026</w:t>
        </w:r>
      </w:hyperlink>
      <w:r>
        <w:rPr>
          <w:rFonts w:ascii="Times New Roman;Times;serif" w:hAnsi="Times New Roman;Times;serif"/>
          <w:b w:val="false"/>
          <w:i w:val="false"/>
          <w:caps w:val="false"/>
          <w:smallCaps w:val="false"/>
          <w:color w:val="000000"/>
          <w:spacing w:val="4"/>
          <w:sz w:val="20"/>
        </w:rPr>
        <w:t>,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a “report” or a “part” of the registration statement prepared or certified by Ernst &amp; Young LLP within the meaning of Sections 7 and 11 of the Securities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both"/>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05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720" w:after="283"/>
        <w:jc w:val="center"/>
        <w:rPr>
          <w:caps w:val="false"/>
          <w:smallCaps w:val="false"/>
          <w:color w:val="000000"/>
        </w:rPr>
      </w:pPr>
      <w:r>
        <w:rPr>
          <w:caps w:val="false"/>
          <w:smallCaps w:val="false"/>
          <w:color w:val="000000"/>
        </w:rPr>
        <w:drawing>
          <wp:inline distT="0" distB="0" distL="0" distR="0">
            <wp:extent cx="2819400" cy="342900"/>
            <wp:effectExtent l="0" t="0" r="0" b="0"/>
            <wp:docPr id="19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3" descr=""/>
                    <pic:cNvPicPr>
                      <a:picLocks noChangeAspect="1" noChangeArrowheads="1"/>
                    </pic:cNvPicPr>
                  </pic:nvPicPr>
                  <pic:blipFill>
                    <a:blip r:embed="rId28"/>
                    <a:stretch>
                      <a:fillRect/>
                    </a:stretch>
                  </pic:blipFill>
                  <pic:spPr bwMode="auto">
                    <a:xfrm>
                      <a:off x="0" y="0"/>
                      <a:ext cx="2819400" cy="3429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105"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AutoZone,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4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4.950%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4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735" w:type="dxa"/>
        <w:jc w:val="left"/>
        <w:tblInd w:w="1393" w:type="dxa"/>
        <w:tblLayout w:type="fixed"/>
        <w:tblCellMar>
          <w:top w:w="0" w:type="dxa"/>
          <w:left w:w="0" w:type="dxa"/>
          <w:bottom w:w="0" w:type="dxa"/>
          <w:right w:w="0" w:type="dxa"/>
        </w:tblCellMar>
      </w:tblPr>
      <w:tblGrid>
        <w:gridCol w:w="124"/>
        <w:gridCol w:w="1609"/>
        <w:gridCol w:w="109"/>
        <w:gridCol w:w="109"/>
        <w:gridCol w:w="1273"/>
        <w:gridCol w:w="109"/>
        <w:gridCol w:w="109"/>
        <w:gridCol w:w="1612"/>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both"/>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333" w:after="283"/>
        <w:ind w:left="1393" w:right="0" w:hanging="0"/>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9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7, 2026 </w:t>
      </w:r>
    </w:p>
    <w:p>
      <w:pPr>
        <w:pStyle w:val="TextBody"/>
        <w:bidi w:val="0"/>
        <w:spacing w:before="106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6" w:name="tm2619274d4_ex-filingfees.htm"/>
      <w:bookmarkStart w:id="27" w:name="kstm2619274d4_exfilingfees"/>
      <w:bookmarkStart w:id="28" w:name="tm2619274d4_ex-filingfees.htm"/>
      <w:bookmarkStart w:id="29" w:name="kstm2619274d4_exfilingfees"/>
      <w:bookmarkEnd w:id="28"/>
      <w:bookmarkEnd w:id="29"/>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AUTOZONE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4.950%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850,000,000 </w:t>
            </w:r>
          </w:p>
        </w:tc>
        <w:tc>
          <w:tcPr>
            <w:tcW w:w="1156" w:type="dxa"/>
            <w:tcBorders/>
            <w:shd w:fill="E7E7E2" w:val="clear"/>
            <w:vAlign w:val="center"/>
          </w:tcPr>
          <w:p>
            <w:pPr>
              <w:pStyle w:val="TableContents"/>
              <w:bidi w:val="0"/>
              <w:spacing w:before="0" w:after="283"/>
              <w:jc w:val="right"/>
              <w:rPr/>
            </w:pPr>
            <w:r>
              <w:rPr/>
              <w:t xml:space="preserve">$ 0.99908 </w:t>
            </w:r>
          </w:p>
        </w:tc>
        <w:tc>
          <w:tcPr>
            <w:tcW w:w="1786" w:type="dxa"/>
            <w:tcBorders/>
            <w:shd w:fill="E7E7E2" w:val="clear"/>
            <w:vAlign w:val="center"/>
          </w:tcPr>
          <w:p>
            <w:pPr>
              <w:pStyle w:val="TableContents"/>
              <w:bidi w:val="0"/>
              <w:spacing w:before="0" w:after="283"/>
              <w:jc w:val="right"/>
              <w:rPr/>
            </w:pPr>
            <w:r>
              <w:rPr/>
              <w:t xml:space="preserve">$ 849,218,000.00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$ 117,277.01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0" w:name="MaxAggtOfferingPrice"/>
            <w:bookmarkEnd w:id="30"/>
            <w:r>
              <w:rPr/>
              <w:t xml:space="preserve">$ 849,218,000.00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$ 117,277.01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4" w:name="NetFeeAmt"/>
            <w:bookmarkEnd w:id="34"/>
            <w:r>
              <w:rPr/>
              <w:t xml:space="preserve">$ 117,277.01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6"/>
        <w:gridCol w:w="8702"/>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the registrant initially deferred payment of all of the registration fees for Registration Statement No. 333-297291 filed on July 7, 2026 (the "Registration Statement"). This "Calculation of Filing Fee" table shall be deemed to update the "Calculation of Registration Fee" table in the Registration Statement in accordance with Rules 456(b) and 457(r) under the Securities Act.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66787/000110465925102611/azo-20250830x10k.htm" TargetMode="External"/><Relationship Id="rId4" Type="http://schemas.openxmlformats.org/officeDocument/2006/relationships/hyperlink" Target="https://www.sec.gov/ix?doc=/Archives/edgar/data/866787/000110465925102611/azo-20250830x10k.htm" TargetMode="External"/><Relationship Id="rId5" Type="http://schemas.openxmlformats.org/officeDocument/2006/relationships/hyperlink" Target="https://www.sec.gov/ix?doc=/Archives/edgar/data/866787/000110465925102611/azo-20250830x10k.htm" TargetMode="External"/><Relationship Id="rId6" Type="http://schemas.openxmlformats.org/officeDocument/2006/relationships/hyperlink" Target="https://www.sec.gov/ix?doc=/Archives/edgar/data/866787/000110465925102611/azo-20250830x10k.htm" TargetMode="External"/><Relationship Id="rId7" Type="http://schemas.openxmlformats.org/officeDocument/2006/relationships/hyperlink" Target="https://www.sec.gov/ix?doc=/Archives/edgar/data/866787/000110465925102611/azo-20250830x10k.htm" TargetMode="External"/><Relationship Id="rId8" Type="http://schemas.openxmlformats.org/officeDocument/2006/relationships/hyperlink" Target="https://www.sec.gov/ix?doc=/Archives/edgar/data/866787/000110465925103210/azo-20251217xdef14a.htm" TargetMode="External"/><Relationship Id="rId9" Type="http://schemas.openxmlformats.org/officeDocument/2006/relationships/hyperlink" Target="https://www.sec.gov/ix?doc=/Archives/edgar/data/866787/000110465925123222/azo-20251122x10q.htm" TargetMode="External"/><Relationship Id="rId10" Type="http://schemas.openxmlformats.org/officeDocument/2006/relationships/hyperlink" Target="https://www.sec.gov/ix?doc=/Archives/edgar/data/866787/000110465926032757/azo-20260214x10q.htm" TargetMode="External"/><Relationship Id="rId11" Type="http://schemas.openxmlformats.org/officeDocument/2006/relationships/hyperlink" Target="https://www.sec.gov/ix?doc=/Archives/edgar/data/866787/000110465926073525/azo-20260509x10q.htm" TargetMode="External"/><Relationship Id="rId12" Type="http://schemas.openxmlformats.org/officeDocument/2006/relationships/hyperlink" Target="https://www.sec.gov/ix?doc=/Archives/edgar/data/866787/000117184325006358/f8k_100825.htm" TargetMode="External"/><Relationship Id="rId13" Type="http://schemas.openxmlformats.org/officeDocument/2006/relationships/hyperlink" Target="https://www.sec.gov/ix?doc=/Archives/edgar/data/866787/000117184325008040/f8k_121925.htm" TargetMode="External"/><Relationship Id="rId14" Type="http://schemas.openxmlformats.org/officeDocument/2006/relationships/hyperlink" Target="https://www.sec.gov/ix?doc=/Archives/edgar/data/866787/000117184326004150/f8k_061626.htm" TargetMode="External"/><Relationship Id="rId15" Type="http://schemas.openxmlformats.org/officeDocument/2006/relationships/image" Target="media/image1.jpeg"/><Relationship Id="rId16" Type="http://schemas.openxmlformats.org/officeDocument/2006/relationships/hyperlink" Target="https://www.sec.gov/ix?doc=/Archives/edgar/data/866787/000110465925102611/azo-20250830x10k.htm" TargetMode="External"/><Relationship Id="rId17" Type="http://schemas.openxmlformats.org/officeDocument/2006/relationships/hyperlink" Target="https://www.sec.gov/ix?doc=/Archives/edgar/data/866787/000110465925103210/azo-20251217xdef14a.htm" TargetMode="External"/><Relationship Id="rId18" Type="http://schemas.openxmlformats.org/officeDocument/2006/relationships/hyperlink" Target="https://www.sec.gov/ix?doc=/Archives/edgar/data/866787/000110465925123222/azo-20251122x10q.htm" TargetMode="External"/><Relationship Id="rId19" Type="http://schemas.openxmlformats.org/officeDocument/2006/relationships/hyperlink" Target="https://www.sec.gov/ix?doc=/Archives/edgar/data/866787/000110465926032757/azo-20260214x10q.htm" TargetMode="External"/><Relationship Id="rId20" Type="http://schemas.openxmlformats.org/officeDocument/2006/relationships/hyperlink" Target="https://www.sec.gov/ix?doc=/Archives/edgar/data/866787/000110465926073525/azo-20260509x10q.htm" TargetMode="External"/><Relationship Id="rId21" Type="http://schemas.openxmlformats.org/officeDocument/2006/relationships/hyperlink" Target="https://www.sec.gov/ix?doc=/Archives/edgar/data/866787/000117184325006358/f8k_100825.htm" TargetMode="External"/><Relationship Id="rId22" Type="http://schemas.openxmlformats.org/officeDocument/2006/relationships/hyperlink" Target="https://www.sec.gov/ix?doc=/Archives/edgar/data/866787/000117184325008040/f8k_121925.htm" TargetMode="External"/><Relationship Id="rId23" Type="http://schemas.openxmlformats.org/officeDocument/2006/relationships/hyperlink" Target="https://www.sec.gov/ix?doc=/Archives/edgar/data/866787/000117184326004150/f8k_061626.htm" TargetMode="External"/><Relationship Id="rId24" Type="http://schemas.openxmlformats.org/officeDocument/2006/relationships/hyperlink" Target="https://www.sec.gov/ix?doc=/Archives/edgar/data/866787/000110465925102611/azo-20250830x10k.htm" TargetMode="External"/><Relationship Id="rId25" Type="http://schemas.openxmlformats.org/officeDocument/2006/relationships/hyperlink" Target="https://www.sec.gov/ix?doc=/Archives/edgar/data/866787/000110465925123222/azo-20251122x10q.htm" TargetMode="External"/><Relationship Id="rId26" Type="http://schemas.openxmlformats.org/officeDocument/2006/relationships/hyperlink" Target="https://www.sec.gov/ix?doc=/Archives/edgar/data/866787/000110465926032757/azo-20260214x10q.htm" TargetMode="External"/><Relationship Id="rId27" Type="http://schemas.openxmlformats.org/officeDocument/2006/relationships/hyperlink" Target="https://www.sec.gov/ix?doc=/Archives/edgar/data/866787/000110465926073525/azo-20260509x10q.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31676</Words>
  <Characters>164539</Characters>
  <CharactersWithSpaces>197316</CharactersWithSpaces>
  <Paragraphs>1846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