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158750</wp:posOffset>
            </wp:positionH>
            <wp:positionV relativeFrom="page">
              <wp:posOffset>397510</wp:posOffset>
            </wp:positionV>
            <wp:extent cx="7232650" cy="1020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2650" cy="1020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UNITED STATES</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SECURITIES AND EXCHANGE COMMISSION</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Washington, DC 20549</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SCHEDULE 14A INFORMATION</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Proxy Statement Pursuant to Section 14(a) of the</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02124"/>
        </w:rPr>
        <w:t>(Amendment No.__)</w:t>
      </w:r>
    </w:p>
    <w:p>
      <w:pPr>
        <w:spacing w:after="0" w:line="131"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202124"/>
        </w:rPr>
        <w:t xml:space="preserve">Filed by the Registrant </w:t>
      </w:r>
      <w:r>
        <w:rPr>
          <w:rFonts w:ascii="MS PGothic" w:cs="MS PGothic" w:eastAsia="MS PGothic" w:hAnsi="MS PGothic"/>
          <w:sz w:val="18"/>
          <w:szCs w:val="18"/>
          <w:color w:val="202124"/>
        </w:rPr>
        <w:t>☒</w:t>
      </w:r>
    </w:p>
    <w:p>
      <w:pPr>
        <w:spacing w:after="0" w:line="117"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202124"/>
        </w:rPr>
        <w:t xml:space="preserve">Filed by a Party other than the Registrant </w:t>
      </w:r>
      <w:r>
        <w:rPr>
          <w:rFonts w:ascii="MS PGothic" w:cs="MS PGothic" w:eastAsia="MS PGothic" w:hAnsi="MS PGothic"/>
          <w:sz w:val="18"/>
          <w:szCs w:val="18"/>
          <w:color w:val="202124"/>
        </w:rPr>
        <w:t>☐</w:t>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8"/>
          <w:szCs w:val="18"/>
          <w:color w:val="202124"/>
        </w:rPr>
        <w:t>Check the appropriate box:</w:t>
      </w:r>
    </w:p>
    <w:p>
      <w:pPr>
        <w:spacing w:after="0" w:line="104" w:lineRule="exact"/>
        <w:rPr>
          <w:sz w:val="24"/>
          <w:szCs w:val="24"/>
          <w:color w:val="auto"/>
        </w:rPr>
      </w:pPr>
    </w:p>
    <w:p>
      <w:pPr>
        <w:ind w:left="400" w:hanging="367"/>
        <w:spacing w:after="0"/>
        <w:tabs>
          <w:tab w:leader="none" w:pos="400" w:val="left"/>
        </w:tabs>
        <w:numPr>
          <w:ilvl w:val="0"/>
          <w:numId w:val="1"/>
        </w:numPr>
        <w:rPr>
          <w:rFonts w:ascii="MS PGothic" w:cs="MS PGothic" w:eastAsia="MS PGothic" w:hAnsi="MS PGothic"/>
          <w:sz w:val="18"/>
          <w:szCs w:val="18"/>
          <w:color w:val="202124"/>
        </w:rPr>
      </w:pPr>
      <w:r>
        <w:rPr>
          <w:rFonts w:ascii="Arial" w:cs="Arial" w:eastAsia="Arial" w:hAnsi="Arial"/>
          <w:sz w:val="18"/>
          <w:szCs w:val="18"/>
          <w:color w:val="202124"/>
        </w:rPr>
        <w:t>Preliminary Proxy Statement</w:t>
      </w:r>
    </w:p>
    <w:p>
      <w:pPr>
        <w:spacing w:after="0" w:line="117" w:lineRule="exact"/>
        <w:rPr>
          <w:rFonts w:ascii="MS PGothic" w:cs="MS PGothic" w:eastAsia="MS PGothic" w:hAnsi="MS PGothic"/>
          <w:sz w:val="18"/>
          <w:szCs w:val="18"/>
          <w:color w:val="202124"/>
        </w:rPr>
      </w:pPr>
    </w:p>
    <w:p>
      <w:pPr>
        <w:ind w:left="40" w:right="2259" w:hanging="7"/>
        <w:spacing w:after="0" w:line="294" w:lineRule="exact"/>
        <w:tabs>
          <w:tab w:leader="none" w:pos="402" w:val="left"/>
        </w:tabs>
        <w:numPr>
          <w:ilvl w:val="0"/>
          <w:numId w:val="1"/>
        </w:numPr>
        <w:rPr>
          <w:rFonts w:ascii="MS PGothic" w:cs="MS PGothic" w:eastAsia="MS PGothic" w:hAnsi="MS PGothic"/>
          <w:sz w:val="18"/>
          <w:szCs w:val="18"/>
          <w:color w:val="202124"/>
        </w:rPr>
      </w:pPr>
      <w:r>
        <w:rPr>
          <w:rFonts w:ascii="Arial" w:cs="Arial" w:eastAsia="Arial" w:hAnsi="Arial"/>
          <w:sz w:val="18"/>
          <w:szCs w:val="18"/>
          <w:color w:val="202124"/>
        </w:rPr>
        <w:t xml:space="preserve">Confidential, for Use of the Commission Only (as permitted by Rule 14a-6(e)(2)) </w:t>
      </w:r>
      <w:r>
        <w:rPr>
          <w:rFonts w:ascii="MS PGothic" w:cs="MS PGothic" w:eastAsia="MS PGothic" w:hAnsi="MS PGothic"/>
          <w:sz w:val="18"/>
          <w:szCs w:val="18"/>
          <w:color w:val="202124"/>
        </w:rPr>
        <w:t>☒</w:t>
      </w:r>
      <w:r>
        <w:rPr>
          <w:rFonts w:ascii="Arial" w:cs="Arial" w:eastAsia="Arial" w:hAnsi="Arial"/>
          <w:sz w:val="18"/>
          <w:szCs w:val="18"/>
          <w:color w:val="202124"/>
        </w:rPr>
        <w:t xml:space="preserve"> Definitive Proxy Statement</w:t>
      </w:r>
    </w:p>
    <w:p>
      <w:pPr>
        <w:spacing w:after="0" w:line="61" w:lineRule="exact"/>
        <w:rPr>
          <w:rFonts w:ascii="MS PGothic" w:cs="MS PGothic" w:eastAsia="MS PGothic" w:hAnsi="MS PGothic"/>
          <w:sz w:val="18"/>
          <w:szCs w:val="18"/>
          <w:color w:val="202124"/>
        </w:rPr>
      </w:pPr>
    </w:p>
    <w:p>
      <w:pPr>
        <w:ind w:left="400" w:hanging="367"/>
        <w:spacing w:after="0"/>
        <w:tabs>
          <w:tab w:leader="none" w:pos="400" w:val="left"/>
        </w:tabs>
        <w:numPr>
          <w:ilvl w:val="0"/>
          <w:numId w:val="1"/>
        </w:numPr>
        <w:rPr>
          <w:rFonts w:ascii="MS PGothic" w:cs="MS PGothic" w:eastAsia="MS PGothic" w:hAnsi="MS PGothic"/>
          <w:sz w:val="18"/>
          <w:szCs w:val="18"/>
          <w:color w:val="202124"/>
        </w:rPr>
      </w:pPr>
      <w:r>
        <w:rPr>
          <w:rFonts w:ascii="Arial" w:cs="Arial" w:eastAsia="Arial" w:hAnsi="Arial"/>
          <w:sz w:val="18"/>
          <w:szCs w:val="18"/>
          <w:color w:val="202124"/>
        </w:rPr>
        <w:t>Definitive Additional Materials</w:t>
      </w:r>
    </w:p>
    <w:p>
      <w:pPr>
        <w:spacing w:after="0" w:line="117" w:lineRule="exact"/>
        <w:rPr>
          <w:rFonts w:ascii="MS PGothic" w:cs="MS PGothic" w:eastAsia="MS PGothic" w:hAnsi="MS PGothic"/>
          <w:sz w:val="18"/>
          <w:szCs w:val="18"/>
          <w:color w:val="202124"/>
        </w:rPr>
      </w:pPr>
    </w:p>
    <w:p>
      <w:pPr>
        <w:ind w:left="400" w:hanging="367"/>
        <w:spacing w:after="0"/>
        <w:tabs>
          <w:tab w:leader="none" w:pos="400" w:val="left"/>
        </w:tabs>
        <w:numPr>
          <w:ilvl w:val="0"/>
          <w:numId w:val="1"/>
        </w:numPr>
        <w:rPr>
          <w:rFonts w:ascii="MS PGothic" w:cs="MS PGothic" w:eastAsia="MS PGothic" w:hAnsi="MS PGothic"/>
          <w:sz w:val="18"/>
          <w:szCs w:val="18"/>
          <w:color w:val="202124"/>
        </w:rPr>
      </w:pPr>
      <w:r>
        <w:rPr>
          <w:rFonts w:ascii="Arial" w:cs="Arial" w:eastAsia="Arial" w:hAnsi="Arial"/>
          <w:sz w:val="18"/>
          <w:szCs w:val="18"/>
          <w:color w:val="202124"/>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202124"/>
        </w:rPr>
        <w:t>AutoZone, Inc.</w:t>
      </w:r>
    </w:p>
    <w:p>
      <w:pPr>
        <w:spacing w:after="0" w:line="197" w:lineRule="exact"/>
        <w:rPr>
          <w:sz w:val="24"/>
          <w:szCs w:val="24"/>
          <w:color w:val="auto"/>
        </w:rPr>
      </w:pPr>
    </w:p>
    <w:p>
      <w:pPr>
        <w:ind w:left="2620"/>
        <w:spacing w:after="0"/>
        <w:rPr>
          <w:sz w:val="20"/>
          <w:szCs w:val="20"/>
          <w:color w:val="auto"/>
        </w:rPr>
      </w:pPr>
      <w:r>
        <w:rPr>
          <w:rFonts w:ascii="Arial" w:cs="Arial" w:eastAsia="Arial" w:hAnsi="Arial"/>
          <w:sz w:val="18"/>
          <w:szCs w:val="18"/>
          <w:color w:val="202124"/>
        </w:rPr>
        <w:t>(Name of Registrant as Specified in its Charter)</w:t>
      </w:r>
    </w:p>
    <w:p>
      <w:pPr>
        <w:spacing w:after="0" w:line="171" w:lineRule="exact"/>
        <w:rPr>
          <w:sz w:val="24"/>
          <w:szCs w:val="24"/>
          <w:color w:val="auto"/>
        </w:rPr>
      </w:pPr>
    </w:p>
    <w:p>
      <w:pPr>
        <w:ind w:left="1600"/>
        <w:spacing w:after="0"/>
        <w:rPr>
          <w:sz w:val="20"/>
          <w:szCs w:val="20"/>
          <w:color w:val="auto"/>
        </w:rPr>
      </w:pPr>
      <w:r>
        <w:rPr>
          <w:rFonts w:ascii="Arial" w:cs="Arial" w:eastAsia="Arial" w:hAnsi="Arial"/>
          <w:sz w:val="18"/>
          <w:szCs w:val="18"/>
          <w:color w:val="202124"/>
        </w:rPr>
        <w:t>(Name of Person(s) Filing Proxy Statement, if Other Than the Registrant)</w:t>
      </w:r>
    </w:p>
    <w:p>
      <w:pPr>
        <w:spacing w:after="0" w:line="185" w:lineRule="exact"/>
        <w:rPr>
          <w:sz w:val="24"/>
          <w:szCs w:val="24"/>
          <w:color w:val="auto"/>
        </w:rPr>
      </w:pPr>
    </w:p>
    <w:p>
      <w:pPr>
        <w:ind w:left="40"/>
        <w:spacing w:after="0"/>
        <w:rPr>
          <w:sz w:val="20"/>
          <w:szCs w:val="20"/>
          <w:color w:val="auto"/>
        </w:rPr>
      </w:pPr>
      <w:r>
        <w:rPr>
          <w:rFonts w:ascii="Arial" w:cs="Arial" w:eastAsia="Arial" w:hAnsi="Arial"/>
          <w:sz w:val="18"/>
          <w:szCs w:val="18"/>
          <w:color w:val="202124"/>
        </w:rPr>
        <w:t>Payment of Filing Fee (Check all boxes that apply):</w:t>
      </w:r>
    </w:p>
    <w:p>
      <w:pPr>
        <w:spacing w:after="0" w:line="239" w:lineRule="exact"/>
        <w:rPr>
          <w:sz w:val="24"/>
          <w:szCs w:val="24"/>
          <w:color w:val="auto"/>
        </w:rPr>
      </w:pPr>
    </w:p>
    <w:p>
      <w:pPr>
        <w:ind w:left="340" w:hanging="285"/>
        <w:spacing w:after="0"/>
        <w:tabs>
          <w:tab w:leader="none" w:pos="340" w:val="left"/>
        </w:tabs>
        <w:numPr>
          <w:ilvl w:val="0"/>
          <w:numId w:val="2"/>
        </w:numPr>
        <w:rPr>
          <w:rFonts w:ascii="MS PGothic" w:cs="MS PGothic" w:eastAsia="MS PGothic" w:hAnsi="MS PGothic"/>
          <w:sz w:val="18"/>
          <w:szCs w:val="18"/>
          <w:color w:val="202124"/>
        </w:rPr>
      </w:pPr>
      <w:r>
        <w:rPr>
          <w:rFonts w:ascii="Arial" w:cs="Arial" w:eastAsia="Arial" w:hAnsi="Arial"/>
          <w:sz w:val="18"/>
          <w:szCs w:val="18"/>
          <w:color w:val="202124"/>
        </w:rPr>
        <w:t>No fee required.</w:t>
      </w:r>
    </w:p>
    <w:p>
      <w:pPr>
        <w:spacing w:after="0" w:line="104" w:lineRule="exact"/>
        <w:rPr>
          <w:sz w:val="24"/>
          <w:szCs w:val="24"/>
          <w:color w:val="auto"/>
        </w:rPr>
      </w:pPr>
    </w:p>
    <w:p>
      <w:pPr>
        <w:ind w:left="340" w:hanging="285"/>
        <w:spacing w:after="0"/>
        <w:tabs>
          <w:tab w:leader="none" w:pos="340" w:val="left"/>
        </w:tabs>
        <w:numPr>
          <w:ilvl w:val="0"/>
          <w:numId w:val="3"/>
        </w:numPr>
        <w:rPr>
          <w:rFonts w:ascii="MS PGothic" w:cs="MS PGothic" w:eastAsia="MS PGothic" w:hAnsi="MS PGothic"/>
          <w:sz w:val="18"/>
          <w:szCs w:val="18"/>
          <w:color w:val="202124"/>
        </w:rPr>
      </w:pPr>
      <w:r>
        <w:rPr>
          <w:rFonts w:ascii="Arial" w:cs="Arial" w:eastAsia="Arial" w:hAnsi="Arial"/>
          <w:sz w:val="18"/>
          <w:szCs w:val="18"/>
          <w:color w:val="202124"/>
        </w:rPr>
        <w:t>Fee paid previously with preliminary materials.</w:t>
      </w:r>
    </w:p>
    <w:p>
      <w:pPr>
        <w:spacing w:after="0" w:line="103" w:lineRule="exact"/>
        <w:rPr>
          <w:rFonts w:ascii="MS PGothic" w:cs="MS PGothic" w:eastAsia="MS PGothic" w:hAnsi="MS PGothic"/>
          <w:sz w:val="18"/>
          <w:szCs w:val="18"/>
          <w:color w:val="202124"/>
        </w:rPr>
      </w:pPr>
    </w:p>
    <w:p>
      <w:pPr>
        <w:ind w:left="340" w:hanging="285"/>
        <w:spacing w:after="0"/>
        <w:tabs>
          <w:tab w:leader="none" w:pos="340" w:val="left"/>
        </w:tabs>
        <w:numPr>
          <w:ilvl w:val="0"/>
          <w:numId w:val="3"/>
        </w:numPr>
        <w:rPr>
          <w:rFonts w:ascii="MS PGothic" w:cs="MS PGothic" w:eastAsia="MS PGothic" w:hAnsi="MS PGothic"/>
          <w:sz w:val="17"/>
          <w:szCs w:val="17"/>
          <w:color w:val="202124"/>
        </w:rPr>
      </w:pPr>
      <w:r>
        <w:rPr>
          <w:rFonts w:ascii="Arial" w:cs="Arial" w:eastAsia="Arial" w:hAnsi="Arial"/>
          <w:sz w:val="17"/>
          <w:szCs w:val="17"/>
          <w:color w:val="202124"/>
        </w:rPr>
        <w:t>Fee computed on table in exhibit required by Item 25(b) per Exchange Act Rules 14a-6(i)(1) and 0-11.</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0" w:right="6220"/>
        <w:spacing w:after="0" w:line="287" w:lineRule="auto"/>
        <w:rPr>
          <w:sz w:val="20"/>
          <w:szCs w:val="20"/>
          <w:color w:val="auto"/>
        </w:rPr>
      </w:pPr>
      <w:r>
        <w:rPr>
          <w:rFonts w:ascii="Arial" w:cs="Arial" w:eastAsia="Arial" w:hAnsi="Arial"/>
          <w:sz w:val="49"/>
          <w:szCs w:val="49"/>
          <w:b w:val="1"/>
          <w:bCs w:val="1"/>
          <w:color w:val="F37F00"/>
        </w:rPr>
        <w:t>Letter from our Chairman</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8"/>
          <w:szCs w:val="18"/>
          <w:color w:val="202124"/>
        </w:rPr>
        <w:t>Dear Stockholders,</w:t>
      </w:r>
    </w:p>
    <w:p>
      <w:pPr>
        <w:spacing w:after="0" w:line="90" w:lineRule="exact"/>
        <w:rPr>
          <w:sz w:val="20"/>
          <w:szCs w:val="20"/>
          <w:color w:val="auto"/>
        </w:rPr>
      </w:pPr>
    </w:p>
    <w:p>
      <w:pPr>
        <w:jc w:val="both"/>
        <w:ind w:left="680"/>
        <w:spacing w:after="0" w:line="216" w:lineRule="auto"/>
        <w:rPr>
          <w:sz w:val="20"/>
          <w:szCs w:val="20"/>
          <w:color w:val="auto"/>
        </w:rPr>
      </w:pPr>
      <w:r>
        <w:rPr>
          <w:rFonts w:ascii="Arial" w:cs="Arial" w:eastAsia="Arial" w:hAnsi="Arial"/>
          <w:sz w:val="18"/>
          <w:szCs w:val="18"/>
          <w:color w:val="202124"/>
        </w:rPr>
        <w:t>In connection with our 2026 Annual Meeting of Stockholders to be held at the J.R. Hyde III, Store Support Center in downtown Memphis on December 16</w:t>
      </w:r>
      <w:r>
        <w:rPr>
          <w:rFonts w:ascii="Arial" w:cs="Arial" w:eastAsia="Arial" w:hAnsi="Arial"/>
          <w:sz w:val="26"/>
          <w:szCs w:val="26"/>
          <w:color w:val="202124"/>
          <w:vertAlign w:val="superscript"/>
        </w:rPr>
        <w:t>th</w:t>
      </w:r>
      <w:r>
        <w:rPr>
          <w:rFonts w:ascii="Arial" w:cs="Arial" w:eastAsia="Arial" w:hAnsi="Arial"/>
          <w:sz w:val="18"/>
          <w:szCs w:val="18"/>
          <w:color w:val="202124"/>
        </w:rPr>
        <w:t>, 2026, it is my honor to address you, our owners, on key corporate governance developments at AutoZone.</w:t>
      </w:r>
    </w:p>
    <w:p>
      <w:pPr>
        <w:spacing w:after="0" w:line="60" w:lineRule="exact"/>
        <w:rPr>
          <w:sz w:val="20"/>
          <w:szCs w:val="20"/>
          <w:color w:val="auto"/>
        </w:rPr>
      </w:pPr>
    </w:p>
    <w:p>
      <w:pPr>
        <w:jc w:val="both"/>
        <w:ind w:left="680"/>
        <w:spacing w:after="0" w:line="245" w:lineRule="auto"/>
        <w:rPr>
          <w:sz w:val="20"/>
          <w:szCs w:val="20"/>
          <w:color w:val="auto"/>
        </w:rPr>
      </w:pPr>
      <w:r>
        <w:rPr>
          <w:rFonts w:ascii="Arial" w:cs="Arial" w:eastAsia="Arial" w:hAnsi="Arial"/>
          <w:sz w:val="18"/>
          <w:szCs w:val="18"/>
          <w:color w:val="202124"/>
        </w:rPr>
        <w:t>In 2024 for the first time in nearly two decades, our Board of Directors (“Board”) elected a new Chief Executive Officer (“CEO”). The Board conducted a rigorous and robust succession planning process that lasted over three years and</w:t>
      </w:r>
    </w:p>
    <w:p>
      <w:pPr>
        <w:jc w:val="both"/>
        <w:ind w:left="680"/>
        <w:spacing w:after="0" w:line="226" w:lineRule="auto"/>
        <w:rPr>
          <w:sz w:val="20"/>
          <w:szCs w:val="20"/>
          <w:color w:val="auto"/>
        </w:rPr>
      </w:pPr>
      <w:r>
        <w:rPr>
          <w:rFonts w:ascii="Arial" w:cs="Arial" w:eastAsia="Arial" w:hAnsi="Arial"/>
          <w:sz w:val="18"/>
          <w:szCs w:val="18"/>
          <w:color w:val="202124"/>
        </w:rPr>
        <w:t>culminated in the selection of Phil Daniele as AutoZone’s fifth CEO in our rich history. As part of the succession planning process, the Board had requested that I assume the role of Executive Chairman, in which I continued to work with Phil</w:t>
      </w:r>
    </w:p>
    <w:p>
      <w:pPr>
        <w:ind w:left="680"/>
        <w:spacing w:after="0" w:line="236" w:lineRule="auto"/>
        <w:rPr>
          <w:sz w:val="20"/>
          <w:szCs w:val="20"/>
          <w:color w:val="auto"/>
        </w:rPr>
      </w:pPr>
      <w:r>
        <w:rPr>
          <w:rFonts w:ascii="Arial" w:cs="Arial" w:eastAsia="Arial" w:hAnsi="Arial"/>
          <w:sz w:val="18"/>
          <w:szCs w:val="18"/>
          <w:color w:val="202124"/>
        </w:rPr>
        <w:t>and our talented Executive Committee (the senior most leaders of the management team). In this capacity, my role was</w:t>
      </w:r>
    </w:p>
    <w:p>
      <w:pPr>
        <w:spacing w:after="0" w:line="1" w:lineRule="exact"/>
        <w:rPr>
          <w:sz w:val="20"/>
          <w:szCs w:val="20"/>
          <w:color w:val="auto"/>
        </w:rPr>
      </w:pPr>
    </w:p>
    <w:p>
      <w:pPr>
        <w:jc w:val="both"/>
        <w:ind w:left="680"/>
        <w:spacing w:after="0" w:line="237" w:lineRule="auto"/>
        <w:rPr>
          <w:sz w:val="20"/>
          <w:szCs w:val="20"/>
          <w:color w:val="auto"/>
        </w:rPr>
      </w:pPr>
      <w:r>
        <w:rPr>
          <w:rFonts w:ascii="Arial" w:cs="Arial" w:eastAsia="Arial" w:hAnsi="Arial"/>
          <w:sz w:val="18"/>
          <w:szCs w:val="18"/>
          <w:color w:val="202124"/>
        </w:rPr>
        <w:t>to serve as an advisor, coach, sounding board and mentor – Phil, in his role as President and CEO, was the ultimate decision maker. These changes resulted in us splitting the roles of Chairman and CEO for the first time since 2007.</w:t>
      </w:r>
    </w:p>
    <w:p>
      <w:pPr>
        <w:spacing w:after="0" w:line="59" w:lineRule="exact"/>
        <w:rPr>
          <w:sz w:val="20"/>
          <w:szCs w:val="20"/>
          <w:color w:val="auto"/>
        </w:rPr>
      </w:pPr>
    </w:p>
    <w:p>
      <w:pPr>
        <w:jc w:val="both"/>
        <w:ind w:left="680"/>
        <w:spacing w:after="0" w:line="237" w:lineRule="auto"/>
        <w:rPr>
          <w:sz w:val="20"/>
          <w:szCs w:val="20"/>
          <w:color w:val="auto"/>
        </w:rPr>
      </w:pPr>
      <w:r>
        <w:rPr>
          <w:rFonts w:ascii="Arial" w:cs="Arial" w:eastAsia="Arial" w:hAnsi="Arial"/>
          <w:sz w:val="18"/>
          <w:szCs w:val="18"/>
          <w:color w:val="202124"/>
        </w:rPr>
        <w:t>Today, we continue to believe the split role of Chairman and CEO is the best leadership structure for AutoZone. I have thoroughly enjoyed working with Phil in the beginning of his CEO tenure and know he is the strong and capable CEO we</w:t>
      </w:r>
    </w:p>
    <w:p>
      <w:pPr>
        <w:spacing w:after="0" w:line="1" w:lineRule="exact"/>
        <w:rPr>
          <w:sz w:val="20"/>
          <w:szCs w:val="20"/>
          <w:color w:val="auto"/>
        </w:rPr>
      </w:pPr>
    </w:p>
    <w:p>
      <w:pPr>
        <w:jc w:val="both"/>
        <w:ind w:left="680"/>
        <w:spacing w:after="0" w:line="226" w:lineRule="auto"/>
        <w:rPr>
          <w:sz w:val="20"/>
          <w:szCs w:val="20"/>
          <w:color w:val="auto"/>
        </w:rPr>
      </w:pPr>
      <w:r>
        <w:rPr>
          <w:rFonts w:ascii="Arial" w:cs="Arial" w:eastAsia="Arial" w:hAnsi="Arial"/>
          <w:sz w:val="18"/>
          <w:szCs w:val="18"/>
          <w:color w:val="202124"/>
        </w:rPr>
        <w:t>all expected him to be. Accordingly, the Board approved my transition from the role of Executive Chairman to Chairman, effective this past January. Our Board believes in optimizing the structure based on the talents and capabilities of the</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8"/>
          <w:szCs w:val="18"/>
          <w:color w:val="202124"/>
        </w:rPr>
        <w:t>leadership at the time. This is the final planned step in our leadership transition plan we announced in June of 2023.</w:t>
      </w:r>
    </w:p>
    <w:p>
      <w:pPr>
        <w:spacing w:after="0" w:line="59" w:lineRule="exact"/>
        <w:rPr>
          <w:sz w:val="20"/>
          <w:szCs w:val="20"/>
          <w:color w:val="auto"/>
        </w:rPr>
      </w:pPr>
    </w:p>
    <w:p>
      <w:pPr>
        <w:jc w:val="both"/>
        <w:ind w:left="680"/>
        <w:spacing w:after="0" w:line="245" w:lineRule="auto"/>
        <w:rPr>
          <w:sz w:val="20"/>
          <w:szCs w:val="20"/>
          <w:color w:val="auto"/>
        </w:rPr>
      </w:pPr>
      <w:r>
        <w:rPr>
          <w:rFonts w:ascii="Arial" w:cs="Arial" w:eastAsia="Arial" w:hAnsi="Arial"/>
          <w:sz w:val="18"/>
          <w:szCs w:val="18"/>
          <w:color w:val="202124"/>
        </w:rPr>
        <w:t>Another focus of the Board has been prioritizing board succession planning and refreshment, given that our overall tenure in recent years was increasing. We believe a balance in board tenures is important. Our business is complex and having</w:t>
      </w:r>
    </w:p>
    <w:p>
      <w:pPr>
        <w:jc w:val="both"/>
        <w:ind w:left="680"/>
        <w:spacing w:after="0" w:line="226" w:lineRule="auto"/>
        <w:rPr>
          <w:sz w:val="20"/>
          <w:szCs w:val="20"/>
          <w:color w:val="auto"/>
        </w:rPr>
      </w:pPr>
      <w:r>
        <w:rPr>
          <w:rFonts w:ascii="Arial" w:cs="Arial" w:eastAsia="Arial" w:hAnsi="Arial"/>
          <w:sz w:val="18"/>
          <w:szCs w:val="18"/>
          <w:color w:val="202124"/>
        </w:rPr>
        <w:t>long-standing directors who have been through various cycles, strategies and developments is important, just as we believe in having long-tenured AutoZoners (employees). But, we also believe in fresh perspectives, new ideas, objectivity</w:t>
      </w:r>
    </w:p>
    <w:p>
      <w:pPr>
        <w:ind w:left="680"/>
        <w:spacing w:after="0" w:line="236" w:lineRule="auto"/>
        <w:rPr>
          <w:sz w:val="20"/>
          <w:szCs w:val="20"/>
          <w:color w:val="auto"/>
        </w:rPr>
      </w:pPr>
      <w:r>
        <w:rPr>
          <w:rFonts w:ascii="Arial" w:cs="Arial" w:eastAsia="Arial" w:hAnsi="Arial"/>
          <w:sz w:val="18"/>
          <w:szCs w:val="18"/>
          <w:color w:val="202124"/>
        </w:rPr>
        <w:t>and independence. At the 2024 annual meeting, two of our longer-tenured Board members decided to not stand for re-</w:t>
      </w:r>
    </w:p>
    <w:p>
      <w:pPr>
        <w:spacing w:after="0" w:line="1" w:lineRule="exact"/>
        <w:rPr>
          <w:sz w:val="20"/>
          <w:szCs w:val="20"/>
          <w:color w:val="auto"/>
        </w:rPr>
      </w:pPr>
    </w:p>
    <w:p>
      <w:pPr>
        <w:jc w:val="both"/>
        <w:ind w:left="680"/>
        <w:spacing w:after="0" w:line="226" w:lineRule="auto"/>
        <w:rPr>
          <w:sz w:val="20"/>
          <w:szCs w:val="20"/>
          <w:color w:val="auto"/>
        </w:rPr>
      </w:pPr>
      <w:r>
        <w:rPr>
          <w:rFonts w:ascii="Arial" w:cs="Arial" w:eastAsia="Arial" w:hAnsi="Arial"/>
          <w:sz w:val="18"/>
          <w:szCs w:val="18"/>
          <w:color w:val="202124"/>
        </w:rPr>
        <w:t>election. Following their decisions, we began a formal search process led by a third party to identify two new independent directors, which resulted in the successful appointment of two outstanding new directors, Claire McDonough and</w:t>
      </w:r>
    </w:p>
    <w:p>
      <w:pPr>
        <w:ind w:left="680"/>
        <w:spacing w:after="0" w:line="236" w:lineRule="auto"/>
        <w:rPr>
          <w:sz w:val="20"/>
          <w:szCs w:val="20"/>
          <w:color w:val="auto"/>
        </w:rPr>
      </w:pPr>
      <w:r>
        <w:rPr>
          <w:rFonts w:ascii="Arial" w:cs="Arial" w:eastAsia="Arial" w:hAnsi="Arial"/>
          <w:sz w:val="18"/>
          <w:szCs w:val="18"/>
          <w:color w:val="202124"/>
        </w:rPr>
        <w:t>Constantino  Spas  Montesinos,  who  have  brought  uniquely  valuable  perspectives  and  impressive  professional</w:t>
      </w:r>
    </w:p>
    <w:p>
      <w:pPr>
        <w:spacing w:after="0" w:line="1" w:lineRule="exact"/>
        <w:rPr>
          <w:sz w:val="20"/>
          <w:szCs w:val="20"/>
          <w:color w:val="auto"/>
        </w:rPr>
      </w:pPr>
    </w:p>
    <w:p>
      <w:pPr>
        <w:jc w:val="both"/>
        <w:ind w:left="680"/>
        <w:spacing w:after="0" w:line="226" w:lineRule="auto"/>
        <w:rPr>
          <w:sz w:val="20"/>
          <w:szCs w:val="20"/>
          <w:color w:val="auto"/>
        </w:rPr>
      </w:pPr>
      <w:r>
        <w:rPr>
          <w:rFonts w:ascii="Arial" w:cs="Arial" w:eastAsia="Arial" w:hAnsi="Arial"/>
          <w:sz w:val="18"/>
          <w:szCs w:val="18"/>
          <w:color w:val="202124"/>
        </w:rPr>
        <w:t>experiences to our Board. Upon onboarding our new directors, we also rotated Committee appointments and Board leadership positions, including naming Brian Hannasch as our Lead Independent Director and Linda Goodspeed as our</w:t>
      </w:r>
    </w:p>
    <w:p>
      <w:pPr>
        <w:spacing w:after="0" w:line="2" w:lineRule="exact"/>
        <w:rPr>
          <w:sz w:val="20"/>
          <w:szCs w:val="20"/>
          <w:color w:val="auto"/>
        </w:rPr>
      </w:pPr>
    </w:p>
    <w:p>
      <w:pPr>
        <w:jc w:val="both"/>
        <w:ind w:left="680"/>
        <w:spacing w:after="0" w:line="250" w:lineRule="auto"/>
        <w:rPr>
          <w:sz w:val="20"/>
          <w:szCs w:val="20"/>
          <w:color w:val="auto"/>
        </w:rPr>
      </w:pPr>
      <w:r>
        <w:rPr>
          <w:rFonts w:ascii="Arial" w:cs="Arial" w:eastAsia="Arial" w:hAnsi="Arial"/>
          <w:sz w:val="18"/>
          <w:szCs w:val="18"/>
          <w:color w:val="202124"/>
        </w:rPr>
        <w:t>Audit Committee Chair. These changes over the last couple of years have refreshed our Board leadership and structure, while maintaining high standards of corporate governance to support our growing business.</w:t>
      </w:r>
    </w:p>
    <w:p>
      <w:pPr>
        <w:spacing w:after="0" w:line="50" w:lineRule="exact"/>
        <w:rPr>
          <w:sz w:val="20"/>
          <w:szCs w:val="20"/>
          <w:color w:val="auto"/>
        </w:rPr>
      </w:pPr>
    </w:p>
    <w:p>
      <w:pPr>
        <w:jc w:val="both"/>
        <w:ind w:left="680"/>
        <w:spacing w:after="0" w:line="242" w:lineRule="auto"/>
        <w:rPr>
          <w:sz w:val="20"/>
          <w:szCs w:val="20"/>
          <w:color w:val="auto"/>
        </w:rPr>
      </w:pPr>
      <w:r>
        <w:rPr>
          <w:rFonts w:ascii="Arial" w:cs="Arial" w:eastAsia="Arial" w:hAnsi="Arial"/>
          <w:sz w:val="18"/>
          <w:szCs w:val="18"/>
          <w:color w:val="202124"/>
        </w:rPr>
        <w:t>In October, Ms. McDonough communicated to the Board her decision not to stand for reelection at the Company’s 2026 Annual Meeting of Stockholders. Ms. McDonough recently accepted a new executive role with a different company, and that company’s key events calendar conflicts with several of AutoZone’s future board meetings. Although the AutoZone Board would have preferred a different outcome, it expresses its sincere gratitude to Ms. McDonough for her wise counsel, valued insights, and meaningful contributions during her tenure. The Board wishes her continued success in all her future endeavors. In light of Ms. McDonough’s decision, we have elected to reduce the size of the Board to ten.</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202124"/>
        </w:rPr>
        <w:t>Over the course of the last few months, we have held off-season engagement discussions with you, our owners, to</w:t>
      </w:r>
    </w:p>
    <w:p>
      <w:pPr>
        <w:spacing w:after="0" w:line="14" w:lineRule="exact"/>
        <w:rPr>
          <w:sz w:val="20"/>
          <w:szCs w:val="20"/>
          <w:color w:val="auto"/>
        </w:rPr>
      </w:pPr>
    </w:p>
    <w:p>
      <w:pPr>
        <w:jc w:val="both"/>
        <w:ind w:left="680"/>
        <w:spacing w:after="0" w:line="237" w:lineRule="auto"/>
        <w:rPr>
          <w:sz w:val="20"/>
          <w:szCs w:val="20"/>
          <w:color w:val="auto"/>
        </w:rPr>
      </w:pPr>
      <w:r>
        <w:rPr>
          <w:rFonts w:ascii="Arial" w:cs="Arial" w:eastAsia="Arial" w:hAnsi="Arial"/>
          <w:sz w:val="18"/>
          <w:szCs w:val="18"/>
          <w:color w:val="202124"/>
        </w:rPr>
        <w:t>discuss recent changes and also to listen to your thoughts and ideas. We thank you for sharing and continue to take your feedback to heart. As always, we strive to execute changes in a thoughtful and disciplined manner.</w:t>
      </w:r>
    </w:p>
    <w:p>
      <w:pPr>
        <w:spacing w:after="0" w:line="59" w:lineRule="exact"/>
        <w:rPr>
          <w:sz w:val="20"/>
          <w:szCs w:val="20"/>
          <w:color w:val="auto"/>
        </w:rPr>
      </w:pPr>
    </w:p>
    <w:p>
      <w:pPr>
        <w:jc w:val="both"/>
        <w:ind w:left="680"/>
        <w:spacing w:after="0" w:line="256" w:lineRule="auto"/>
        <w:rPr>
          <w:sz w:val="20"/>
          <w:szCs w:val="20"/>
          <w:color w:val="auto"/>
        </w:rPr>
      </w:pPr>
      <w:r>
        <w:rPr>
          <w:rFonts w:ascii="Arial" w:cs="Arial" w:eastAsia="Arial" w:hAnsi="Arial"/>
          <w:sz w:val="18"/>
          <w:szCs w:val="18"/>
          <w:color w:val="202124"/>
        </w:rPr>
        <w:t>On behalf of the Board, I invite you to join us for our 2026 Annual Meeting of Stockholders and as always, we appreciate your investment in us and your continued support.</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8"/>
          <w:szCs w:val="18"/>
          <w:color w:val="202124"/>
        </w:rPr>
        <w:t>Sincerely,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202124"/>
        </w:rPr>
        <w:t>Bill Rhodes</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8"/>
          <w:szCs w:val="18"/>
          <w:color w:val="202124"/>
        </w:rPr>
        <w:t>Chairman</w:t>
      </w:r>
    </w:p>
    <w:p>
      <w:pPr>
        <w:sectPr>
          <w:pgSz w:w="11900" w:h="16838" w:orient="portrait"/>
          <w:cols w:equalWidth="0" w:num="1">
            <w:col w:w="10400"/>
          </w:cols>
          <w:pgMar w:left="440" w:top="106" w:right="1059" w:bottom="1440" w:gutter="0" w:footer="0" w:header="0"/>
        </w:sectPr>
      </w:pPr>
    </w:p>
    <w:bookmarkStart w:id="2" w:name="page3"/>
    <w:bookmarkEnd w:id="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47"/>
          <w:szCs w:val="47"/>
          <w:b w:val="1"/>
          <w:bCs w:val="1"/>
          <w:color w:val="202124"/>
        </w:rPr>
        <w:t>NOTICE OF ANNUAL MEETING OF</w:t>
      </w:r>
    </w:p>
    <w:p>
      <w:pPr>
        <w:jc w:val="center"/>
        <w:ind w:right="-639"/>
        <w:spacing w:after="0"/>
        <w:rPr>
          <w:sz w:val="20"/>
          <w:szCs w:val="20"/>
          <w:color w:val="auto"/>
        </w:rPr>
      </w:pPr>
      <w:r>
        <w:rPr>
          <w:rFonts w:ascii="Arial" w:cs="Arial" w:eastAsia="Arial" w:hAnsi="Arial"/>
          <w:sz w:val="47"/>
          <w:szCs w:val="47"/>
          <w:b w:val="1"/>
          <w:bCs w:val="1"/>
          <w:color w:val="202124"/>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47"/>
        </w:trPr>
        <w:tc>
          <w:tcPr>
            <w:tcW w:w="3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202124"/>
                <w:w w:val="97"/>
              </w:rPr>
              <w:t>DATE AND TIME</w:t>
            </w:r>
          </w:p>
        </w:tc>
        <w:tc>
          <w:tcPr>
            <w:tcW w:w="3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202124"/>
                <w:w w:val="98"/>
              </w:rPr>
              <w:t>PLACE</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202124"/>
                <w:w w:val="98"/>
              </w:rPr>
              <w:t>RECORD DATE</w:t>
            </w:r>
          </w:p>
        </w:tc>
      </w:tr>
      <w:tr>
        <w:trPr>
          <w:trHeight w:val="244"/>
        </w:trPr>
        <w:tc>
          <w:tcPr>
            <w:tcW w:w="3220" w:type="dxa"/>
            <w:vAlign w:val="bottom"/>
            <w:gridSpan w:val="2"/>
          </w:tcPr>
          <w:p>
            <w:pPr>
              <w:jc w:val="center"/>
              <w:ind w:right="280"/>
              <w:spacing w:after="0"/>
              <w:rPr>
                <w:sz w:val="20"/>
                <w:szCs w:val="20"/>
                <w:color w:val="auto"/>
              </w:rPr>
            </w:pPr>
            <w:r>
              <w:rPr>
                <w:rFonts w:ascii="Arial" w:cs="Arial" w:eastAsia="Arial" w:hAnsi="Arial"/>
                <w:sz w:val="16"/>
                <w:szCs w:val="16"/>
                <w:color w:val="202124"/>
              </w:rPr>
              <w:t>December 16, 2026</w:t>
            </w:r>
          </w:p>
        </w:tc>
        <w:tc>
          <w:tcPr>
            <w:tcW w:w="3600" w:type="dxa"/>
            <w:vAlign w:val="bottom"/>
            <w:gridSpan w:val="2"/>
          </w:tcPr>
          <w:p>
            <w:pPr>
              <w:jc w:val="center"/>
              <w:ind w:right="260"/>
              <w:spacing w:after="0"/>
              <w:rPr>
                <w:sz w:val="20"/>
                <w:szCs w:val="20"/>
                <w:color w:val="auto"/>
              </w:rPr>
            </w:pPr>
            <w:r>
              <w:rPr>
                <w:rFonts w:ascii="Arial" w:cs="Arial" w:eastAsia="Arial" w:hAnsi="Arial"/>
                <w:sz w:val="16"/>
                <w:szCs w:val="16"/>
                <w:color w:val="202124"/>
              </w:rPr>
              <w:t>J.R. Hyde III Store Support Center</w:t>
            </w:r>
          </w:p>
        </w:tc>
        <w:tc>
          <w:tcPr>
            <w:tcW w:w="2900" w:type="dxa"/>
            <w:vAlign w:val="bottom"/>
          </w:tcPr>
          <w:p>
            <w:pPr>
              <w:jc w:val="center"/>
              <w:spacing w:after="0"/>
              <w:rPr>
                <w:sz w:val="20"/>
                <w:szCs w:val="20"/>
                <w:color w:val="auto"/>
              </w:rPr>
            </w:pPr>
            <w:r>
              <w:rPr>
                <w:rFonts w:ascii="Arial" w:cs="Arial" w:eastAsia="Arial" w:hAnsi="Arial"/>
                <w:sz w:val="16"/>
                <w:szCs w:val="16"/>
                <w:color w:val="202124"/>
              </w:rPr>
              <w:t>Close of business on</w:t>
            </w:r>
          </w:p>
        </w:tc>
      </w:tr>
      <w:tr>
        <w:trPr>
          <w:trHeight w:val="189"/>
        </w:trPr>
        <w:tc>
          <w:tcPr>
            <w:tcW w:w="3220" w:type="dxa"/>
            <w:vAlign w:val="bottom"/>
            <w:gridSpan w:val="2"/>
          </w:tcPr>
          <w:p>
            <w:pPr>
              <w:jc w:val="center"/>
              <w:ind w:right="300"/>
              <w:spacing w:after="0"/>
              <w:rPr>
                <w:sz w:val="20"/>
                <w:szCs w:val="20"/>
                <w:color w:val="auto"/>
              </w:rPr>
            </w:pPr>
            <w:r>
              <w:rPr>
                <w:rFonts w:ascii="Arial" w:cs="Arial" w:eastAsia="Arial" w:hAnsi="Arial"/>
                <w:sz w:val="16"/>
                <w:szCs w:val="16"/>
                <w:color w:val="202124"/>
              </w:rPr>
              <w:t>8:00 a.m. Central Time</w:t>
            </w:r>
          </w:p>
        </w:tc>
        <w:tc>
          <w:tcPr>
            <w:tcW w:w="3600" w:type="dxa"/>
            <w:vAlign w:val="bottom"/>
            <w:gridSpan w:val="2"/>
          </w:tcPr>
          <w:p>
            <w:pPr>
              <w:jc w:val="center"/>
              <w:ind w:right="280"/>
              <w:spacing w:after="0"/>
              <w:rPr>
                <w:sz w:val="20"/>
                <w:szCs w:val="20"/>
                <w:color w:val="auto"/>
              </w:rPr>
            </w:pPr>
            <w:r>
              <w:rPr>
                <w:rFonts w:ascii="Arial" w:cs="Arial" w:eastAsia="Arial" w:hAnsi="Arial"/>
                <w:sz w:val="16"/>
                <w:szCs w:val="16"/>
                <w:color w:val="202124"/>
              </w:rPr>
              <w:t>123 S. Front Street</w:t>
            </w:r>
          </w:p>
        </w:tc>
        <w:tc>
          <w:tcPr>
            <w:tcW w:w="2900" w:type="dxa"/>
            <w:vAlign w:val="bottom"/>
          </w:tcPr>
          <w:p>
            <w:pPr>
              <w:jc w:val="center"/>
              <w:spacing w:after="0"/>
              <w:rPr>
                <w:sz w:val="20"/>
                <w:szCs w:val="20"/>
                <w:color w:val="auto"/>
              </w:rPr>
            </w:pPr>
            <w:r>
              <w:rPr>
                <w:rFonts w:ascii="Arial" w:cs="Arial" w:eastAsia="Arial" w:hAnsi="Arial"/>
                <w:sz w:val="16"/>
                <w:szCs w:val="16"/>
                <w:color w:val="202124"/>
              </w:rPr>
              <w:t>October 19, 2026</w:t>
            </w:r>
          </w:p>
        </w:tc>
      </w:tr>
      <w:tr>
        <w:trPr>
          <w:trHeight w:val="215"/>
        </w:trPr>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2"/>
          </w:tcPr>
          <w:p>
            <w:pPr>
              <w:jc w:val="center"/>
              <w:ind w:right="260"/>
              <w:spacing w:after="0"/>
              <w:rPr>
                <w:sz w:val="20"/>
                <w:szCs w:val="20"/>
                <w:color w:val="auto"/>
              </w:rPr>
            </w:pPr>
            <w:r>
              <w:rPr>
                <w:rFonts w:ascii="Arial" w:cs="Arial" w:eastAsia="Arial" w:hAnsi="Arial"/>
                <w:sz w:val="16"/>
                <w:szCs w:val="16"/>
                <w:color w:val="202124"/>
              </w:rPr>
              <w:t>Memphis, Tennessee 38103</w:t>
            </w:r>
          </w:p>
        </w:tc>
        <w:tc>
          <w:tcPr>
            <w:tcW w:w="2900" w:type="dxa"/>
            <w:vAlign w:val="bottom"/>
          </w:tcPr>
          <w:p>
            <w:pPr>
              <w:spacing w:after="0"/>
              <w:rPr>
                <w:sz w:val="18"/>
                <w:szCs w:val="18"/>
                <w:color w:val="auto"/>
              </w:rPr>
            </w:pPr>
          </w:p>
        </w:tc>
      </w:tr>
      <w:tr>
        <w:trPr>
          <w:trHeight w:val="144"/>
        </w:trPr>
        <w:tc>
          <w:tcPr>
            <w:tcW w:w="2940" w:type="dxa"/>
            <w:vAlign w:val="bottom"/>
            <w:tcBorders>
              <w:bottom w:val="single" w:sz="8" w:color="F37F00"/>
            </w:tcBorders>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Borders>
              <w:bottom w:val="single" w:sz="8" w:color="F37F00"/>
            </w:tcBorders>
          </w:tcPr>
          <w:p>
            <w:pPr>
              <w:spacing w:after="0"/>
              <w:rPr>
                <w:sz w:val="12"/>
                <w:szCs w:val="12"/>
                <w:color w:val="auto"/>
              </w:rPr>
            </w:pPr>
          </w:p>
        </w:tc>
        <w:tc>
          <w:tcPr>
            <w:tcW w:w="260" w:type="dxa"/>
            <w:vAlign w:val="bottom"/>
          </w:tcPr>
          <w:p>
            <w:pPr>
              <w:spacing w:after="0"/>
              <w:rPr>
                <w:sz w:val="12"/>
                <w:szCs w:val="12"/>
                <w:color w:val="auto"/>
              </w:rPr>
            </w:pPr>
          </w:p>
        </w:tc>
        <w:tc>
          <w:tcPr>
            <w:tcW w:w="2900" w:type="dxa"/>
            <w:vAlign w:val="bottom"/>
            <w:tcBorders>
              <w:bottom w:val="single" w:sz="8" w:color="F37F00"/>
            </w:tcBorders>
          </w:tcPr>
          <w:p>
            <w:pPr>
              <w:spacing w:after="0"/>
              <w:rPr>
                <w:sz w:val="12"/>
                <w:szCs w:val="12"/>
                <w:color w:val="auto"/>
              </w:rPr>
            </w:pPr>
          </w:p>
        </w:tc>
      </w:tr>
    </w:tbl>
    <w:p>
      <w:pPr>
        <w:spacing w:after="0" w:line="26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37F00"/>
        </w:rPr>
        <w:t>ITEMS OF BUSINESS</w:t>
      </w:r>
    </w:p>
    <w:p>
      <w:pPr>
        <w:spacing w:after="0" w:line="50" w:lineRule="exact"/>
        <w:rPr>
          <w:sz w:val="20"/>
          <w:szCs w:val="20"/>
          <w:color w:val="auto"/>
        </w:rPr>
      </w:pPr>
    </w:p>
    <w:p>
      <w:pPr>
        <w:ind w:left="1060" w:hanging="319"/>
        <w:spacing w:after="0"/>
        <w:tabs>
          <w:tab w:leader="none" w:pos="1060" w:val="left"/>
        </w:tabs>
        <w:numPr>
          <w:ilvl w:val="0"/>
          <w:numId w:val="4"/>
        </w:numPr>
        <w:rPr>
          <w:rFonts w:ascii="Arial" w:cs="Arial" w:eastAsia="Arial" w:hAnsi="Arial"/>
          <w:sz w:val="18"/>
          <w:szCs w:val="18"/>
          <w:color w:val="202124"/>
        </w:rPr>
      </w:pPr>
      <w:r>
        <w:rPr>
          <w:rFonts w:ascii="Arial" w:cs="Arial" w:eastAsia="Arial" w:hAnsi="Arial"/>
          <w:sz w:val="18"/>
          <w:szCs w:val="18"/>
          <w:color w:val="202124"/>
        </w:rPr>
        <w:t>Election of 10 directors</w:t>
      </w:r>
    </w:p>
    <w:p>
      <w:pPr>
        <w:spacing w:after="0" w:line="130" w:lineRule="exact"/>
        <w:rPr>
          <w:rFonts w:ascii="Arial" w:cs="Arial" w:eastAsia="Arial" w:hAnsi="Arial"/>
          <w:sz w:val="18"/>
          <w:szCs w:val="18"/>
          <w:color w:val="202124"/>
        </w:rPr>
      </w:pPr>
    </w:p>
    <w:p>
      <w:pPr>
        <w:ind w:left="1060" w:right="860" w:hanging="319"/>
        <w:spacing w:after="0" w:line="271" w:lineRule="auto"/>
        <w:tabs>
          <w:tab w:leader="none" w:pos="1060" w:val="left"/>
        </w:tabs>
        <w:numPr>
          <w:ilvl w:val="0"/>
          <w:numId w:val="4"/>
        </w:numPr>
        <w:rPr>
          <w:rFonts w:ascii="Arial" w:cs="Arial" w:eastAsia="Arial" w:hAnsi="Arial"/>
          <w:sz w:val="18"/>
          <w:szCs w:val="18"/>
          <w:color w:val="202124"/>
        </w:rPr>
      </w:pPr>
      <w:r>
        <w:rPr>
          <w:rFonts w:ascii="Arial" w:cs="Arial" w:eastAsia="Arial" w:hAnsi="Arial"/>
          <w:sz w:val="18"/>
          <w:szCs w:val="18"/>
          <w:color w:val="202124"/>
        </w:rPr>
        <w:t>Ratification of the appointment of Ernst &amp; Young LLP as our independent registered public accounting firm for the 2027 fiscal year</w:t>
      </w:r>
    </w:p>
    <w:p>
      <w:pPr>
        <w:spacing w:after="0" w:line="99" w:lineRule="exact"/>
        <w:rPr>
          <w:rFonts w:ascii="Arial" w:cs="Arial" w:eastAsia="Arial" w:hAnsi="Arial"/>
          <w:sz w:val="18"/>
          <w:szCs w:val="18"/>
          <w:color w:val="202124"/>
        </w:rPr>
      </w:pPr>
    </w:p>
    <w:p>
      <w:pPr>
        <w:ind w:left="1060" w:hanging="319"/>
        <w:spacing w:after="0"/>
        <w:tabs>
          <w:tab w:leader="none" w:pos="1060" w:val="left"/>
        </w:tabs>
        <w:numPr>
          <w:ilvl w:val="0"/>
          <w:numId w:val="4"/>
        </w:numPr>
        <w:rPr>
          <w:rFonts w:ascii="Arial" w:cs="Arial" w:eastAsia="Arial" w:hAnsi="Arial"/>
          <w:sz w:val="18"/>
          <w:szCs w:val="18"/>
          <w:color w:val="202124"/>
        </w:rPr>
      </w:pPr>
      <w:r>
        <w:rPr>
          <w:rFonts w:ascii="Arial" w:cs="Arial" w:eastAsia="Arial" w:hAnsi="Arial"/>
          <w:sz w:val="18"/>
          <w:szCs w:val="18"/>
          <w:color w:val="202124"/>
        </w:rPr>
        <w:t>Advisory vote on the compensation of named executive officers</w:t>
      </w:r>
    </w:p>
    <w:p>
      <w:pPr>
        <w:spacing w:after="0" w:line="49" w:lineRule="exact"/>
        <w:rPr>
          <w:rFonts w:ascii="Arial" w:cs="Arial" w:eastAsia="Arial" w:hAnsi="Arial"/>
          <w:sz w:val="18"/>
          <w:szCs w:val="18"/>
          <w:color w:val="202124"/>
        </w:rPr>
      </w:pPr>
    </w:p>
    <w:p>
      <w:pPr>
        <w:ind w:left="1060" w:hanging="319"/>
        <w:spacing w:after="0"/>
        <w:tabs>
          <w:tab w:leader="none" w:pos="1060" w:val="left"/>
        </w:tabs>
        <w:numPr>
          <w:ilvl w:val="0"/>
          <w:numId w:val="4"/>
        </w:numPr>
        <w:rPr>
          <w:rFonts w:ascii="Arial" w:cs="Arial" w:eastAsia="Arial" w:hAnsi="Arial"/>
          <w:sz w:val="18"/>
          <w:szCs w:val="18"/>
          <w:color w:val="202124"/>
        </w:rPr>
      </w:pPr>
      <w:r>
        <w:rPr>
          <w:rFonts w:ascii="Arial" w:cs="Arial" w:eastAsia="Arial" w:hAnsi="Arial"/>
          <w:sz w:val="18"/>
          <w:szCs w:val="18"/>
          <w:color w:val="202124"/>
        </w:rPr>
        <w:t>Approval of AutoZone, Inc.’s Ninth Amended and Restated Employee Stock Purchase Plan</w:t>
      </w:r>
    </w:p>
    <w:p>
      <w:pPr>
        <w:spacing w:after="0" w:line="49" w:lineRule="exact"/>
        <w:rPr>
          <w:rFonts w:ascii="Arial" w:cs="Arial" w:eastAsia="Arial" w:hAnsi="Arial"/>
          <w:sz w:val="18"/>
          <w:szCs w:val="18"/>
          <w:color w:val="202124"/>
        </w:rPr>
      </w:pPr>
    </w:p>
    <w:p>
      <w:pPr>
        <w:ind w:left="1060" w:hanging="319"/>
        <w:spacing w:after="0"/>
        <w:tabs>
          <w:tab w:leader="none" w:pos="1060" w:val="left"/>
        </w:tabs>
        <w:numPr>
          <w:ilvl w:val="0"/>
          <w:numId w:val="4"/>
        </w:numPr>
        <w:rPr>
          <w:rFonts w:ascii="Arial" w:cs="Arial" w:eastAsia="Arial" w:hAnsi="Arial"/>
          <w:sz w:val="18"/>
          <w:szCs w:val="18"/>
          <w:color w:val="202124"/>
        </w:rPr>
      </w:pPr>
      <w:r>
        <w:rPr>
          <w:rFonts w:ascii="Arial" w:cs="Arial" w:eastAsia="Arial" w:hAnsi="Arial"/>
          <w:sz w:val="18"/>
          <w:szCs w:val="18"/>
          <w:color w:val="202124"/>
        </w:rPr>
        <w:t>Approval of AutoZone, Inc.’s Seventh Amended and Restated Executive Stock Purchase Plan</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202124"/>
        </w:rPr>
        <w:t>In addition, we will transact such other business properly brought before the meeting.</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37F00"/>
        </w:rPr>
        <w:t>VOTING</w:t>
      </w:r>
    </w:p>
    <w:p>
      <w:pPr>
        <w:spacing w:after="0" w:line="131" w:lineRule="exact"/>
        <w:rPr>
          <w:sz w:val="20"/>
          <w:szCs w:val="20"/>
          <w:color w:val="auto"/>
        </w:rPr>
      </w:pPr>
    </w:p>
    <w:p>
      <w:pPr>
        <w:ind w:left="740" w:right="180"/>
        <w:spacing w:after="0" w:line="253" w:lineRule="auto"/>
        <w:rPr>
          <w:sz w:val="20"/>
          <w:szCs w:val="20"/>
          <w:color w:val="auto"/>
        </w:rPr>
      </w:pPr>
      <w:r>
        <w:rPr>
          <w:rFonts w:ascii="Arial" w:cs="Arial" w:eastAsia="Arial" w:hAnsi="Arial"/>
          <w:sz w:val="18"/>
          <w:szCs w:val="18"/>
          <w:color w:val="202124"/>
        </w:rPr>
        <w:t>Your vote is important. We strongly encourage you to submit your vote as promptly as possible through the Internet, by telephone or by mailing your completed and signed proxy card (or voting instruction form, if you hold your shares through a broker, bank or nominee). For more specific instructions on how to vote, please see page 77.</w:t>
      </w:r>
    </w:p>
    <w:p>
      <w:pPr>
        <w:spacing w:after="0" w:line="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37F00"/>
        </w:rPr>
        <w:t>MEETING MATERIALS</w:t>
      </w:r>
    </w:p>
    <w:p>
      <w:pPr>
        <w:spacing w:after="0" w:line="117" w:lineRule="exact"/>
        <w:rPr>
          <w:sz w:val="20"/>
          <w:szCs w:val="20"/>
          <w:color w:val="auto"/>
        </w:rPr>
      </w:pPr>
    </w:p>
    <w:p>
      <w:pPr>
        <w:ind w:left="740" w:right="480"/>
        <w:spacing w:after="0" w:line="271" w:lineRule="auto"/>
        <w:rPr>
          <w:sz w:val="20"/>
          <w:szCs w:val="20"/>
          <w:color w:val="auto"/>
        </w:rPr>
      </w:pPr>
      <w:r>
        <w:rPr>
          <w:rFonts w:ascii="Arial" w:cs="Arial" w:eastAsia="Arial" w:hAnsi="Arial"/>
          <w:sz w:val="18"/>
          <w:szCs w:val="18"/>
          <w:color w:val="202124"/>
        </w:rPr>
        <w:t>This Proxy Statement and our 2026 Annual Report are available on the Investor Relations section of our website at www.autozone.com. Additionally, you may access our proxy materials at www.envisionreports.com/AZO.</w:t>
      </w:r>
    </w:p>
    <w:p>
      <w:pPr>
        <w:spacing w:after="0" w:line="7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37F00"/>
        </w:rPr>
        <w:t>ATTENDING THE MEETING</w:t>
      </w:r>
    </w:p>
    <w:p>
      <w:pPr>
        <w:spacing w:after="0" w:line="117" w:lineRule="exact"/>
        <w:rPr>
          <w:sz w:val="20"/>
          <w:szCs w:val="20"/>
          <w:color w:val="auto"/>
        </w:rPr>
      </w:pPr>
    </w:p>
    <w:p>
      <w:pPr>
        <w:ind w:left="740" w:right="560"/>
        <w:spacing w:after="0" w:line="253" w:lineRule="auto"/>
        <w:rPr>
          <w:sz w:val="20"/>
          <w:szCs w:val="20"/>
          <w:color w:val="auto"/>
        </w:rPr>
      </w:pPr>
      <w:r>
        <w:rPr>
          <w:rFonts w:ascii="Arial" w:cs="Arial" w:eastAsia="Arial" w:hAnsi="Arial"/>
          <w:sz w:val="18"/>
          <w:szCs w:val="18"/>
          <w:color w:val="202124"/>
        </w:rPr>
        <w:t>We are holding the 2026 Annual Meeting at the J. R. Hyde III Store Support Center located at 123 S. Front St, Memphis, Tennessee 38103. For additional information on how you may attend or vote at the meeting, please see page 77.</w:t>
      </w:r>
    </w:p>
    <w:p>
      <w:pPr>
        <w:spacing w:after="0" w:line="200" w:lineRule="exact"/>
        <w:rPr>
          <w:sz w:val="20"/>
          <w:szCs w:val="20"/>
          <w:color w:val="auto"/>
        </w:rPr>
      </w:pP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color w:val="202124"/>
        </w:rPr>
        <w:t>y Order of the Board of Directors,</w:t>
      </w:r>
    </w:p>
    <w:p>
      <w:pPr>
        <w:spacing w:after="0" w:line="200" w:lineRule="exact"/>
        <w:rPr>
          <w:sz w:val="20"/>
          <w:szCs w:val="20"/>
          <w:color w:val="auto"/>
        </w:rPr>
      </w:pPr>
    </w:p>
    <w:p>
      <w:pPr>
        <w:spacing w:after="0" w:line="228" w:lineRule="exact"/>
        <w:rPr>
          <w:sz w:val="20"/>
          <w:szCs w:val="20"/>
          <w:color w:val="auto"/>
        </w:rPr>
      </w:pPr>
    </w:p>
    <w:p>
      <w:pPr>
        <w:ind w:left="5480"/>
        <w:spacing w:after="0"/>
        <w:rPr>
          <w:sz w:val="20"/>
          <w:szCs w:val="20"/>
          <w:color w:val="auto"/>
        </w:rPr>
      </w:pPr>
      <w:r>
        <w:rPr>
          <w:rFonts w:ascii="Arial" w:cs="Arial" w:eastAsia="Arial" w:hAnsi="Arial"/>
          <w:sz w:val="18"/>
          <w:szCs w:val="18"/>
          <w:color w:val="202124"/>
        </w:rPr>
        <w:t>Jenna M. Bedsole</w:t>
      </w:r>
    </w:p>
    <w:p>
      <w:pPr>
        <w:ind w:left="740"/>
        <w:spacing w:after="0" w:line="181" w:lineRule="auto"/>
        <w:tabs>
          <w:tab w:leader="none" w:pos="5460" w:val="left"/>
        </w:tabs>
        <w:rPr>
          <w:sz w:val="20"/>
          <w:szCs w:val="20"/>
          <w:color w:val="auto"/>
        </w:rPr>
      </w:pPr>
      <w:r>
        <w:rPr>
          <w:rFonts w:ascii="Arial" w:cs="Arial" w:eastAsia="Arial" w:hAnsi="Arial"/>
          <w:sz w:val="23"/>
          <w:szCs w:val="23"/>
          <w:color w:val="202124"/>
          <w:vertAlign w:val="superscript"/>
        </w:rPr>
        <w:t>Memphis, Tennessee</w:t>
      </w:r>
      <w:r>
        <w:rPr>
          <w:sz w:val="20"/>
          <w:szCs w:val="20"/>
          <w:color w:val="auto"/>
        </w:rPr>
        <w:tab/>
      </w:r>
      <w:r>
        <w:rPr>
          <w:rFonts w:ascii="Arial" w:cs="Arial" w:eastAsia="Arial" w:hAnsi="Arial"/>
          <w:sz w:val="16"/>
          <w:szCs w:val="16"/>
          <w:color w:val="202124"/>
        </w:rPr>
        <w:t>Corporate Secretary</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202124"/>
        </w:rPr>
        <w:t>October 27, 2026</w:t>
      </w:r>
    </w:p>
    <w:p>
      <w:pPr>
        <w:sectPr>
          <w:pgSz w:w="11900" w:h="16838" w:orient="portrait"/>
          <w:cols w:equalWidth="0" w:num="1">
            <w:col w:w="10360"/>
          </w:cols>
          <w:pgMar w:left="440" w:top="106" w:right="1099" w:bottom="1440" w:gutter="0" w:footer="0" w:header="0"/>
        </w:sectPr>
      </w:pPr>
    </w:p>
    <w:bookmarkStart w:id="3" w:name="page4"/>
    <w:bookmarkEnd w:id="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Arial" w:cs="Arial" w:eastAsia="Arial" w:hAnsi="Arial"/>
          <w:sz w:val="47"/>
          <w:szCs w:val="47"/>
          <w:b w:val="1"/>
          <w:bCs w:val="1"/>
          <w:color w:val="202124"/>
        </w:rPr>
        <w:t>PROXY SUMMARY</w:t>
      </w:r>
    </w:p>
    <w:p>
      <w:pPr>
        <w:spacing w:after="0" w:line="162" w:lineRule="exact"/>
        <w:rPr>
          <w:sz w:val="20"/>
          <w:szCs w:val="20"/>
          <w:color w:val="auto"/>
        </w:rPr>
      </w:pPr>
    </w:p>
    <w:p>
      <w:pPr>
        <w:ind w:left="640" w:right="160"/>
        <w:spacing w:after="0" w:line="258" w:lineRule="auto"/>
        <w:rPr>
          <w:sz w:val="20"/>
          <w:szCs w:val="20"/>
          <w:color w:val="auto"/>
        </w:rPr>
      </w:pPr>
      <w:r>
        <w:rPr>
          <w:rFonts w:ascii="Arial" w:cs="Arial" w:eastAsia="Arial" w:hAnsi="Arial"/>
          <w:sz w:val="16"/>
          <w:szCs w:val="16"/>
          <w:i w:val="1"/>
          <w:iCs w:val="1"/>
          <w:color w:val="202124"/>
        </w:rPr>
        <w:t>This Proxy Summary provides general information about AutoZone and highlights information contained elsewhere in this Proxy Statement. As it is only a summary, please refer to the entire Proxy Statement and the Annual Report on Form 10-K for the fiscal year ended August 29, 2026 (“FY26”) before you vote. In this Proxy Statement, we use the term “AutoZone,” “we,” “us,” “our” and “the Company” to refer to AutoZone, Inc.</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MEETING INFORMATION</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247"/>
        </w:trPr>
        <w:tc>
          <w:tcPr>
            <w:tcW w:w="2680" w:type="dxa"/>
            <w:vAlign w:val="bottom"/>
          </w:tcPr>
          <w:p>
            <w:pPr>
              <w:spacing w:after="0"/>
              <w:rPr>
                <w:sz w:val="20"/>
                <w:szCs w:val="20"/>
                <w:color w:val="auto"/>
              </w:rPr>
            </w:pPr>
            <w:r>
              <w:rPr>
                <w:rFonts w:ascii="Arial" w:cs="Arial" w:eastAsia="Arial" w:hAnsi="Arial"/>
                <w:sz w:val="18"/>
                <w:szCs w:val="18"/>
                <w:b w:val="1"/>
                <w:bCs w:val="1"/>
                <w:color w:val="202124"/>
              </w:rPr>
              <w:t>DATE &amp; TIME</w:t>
            </w:r>
          </w:p>
        </w:tc>
        <w:tc>
          <w:tcPr>
            <w:tcW w:w="3360" w:type="dxa"/>
            <w:vAlign w:val="bottom"/>
          </w:tcPr>
          <w:p>
            <w:pPr>
              <w:ind w:left="300"/>
              <w:spacing w:after="0"/>
              <w:rPr>
                <w:sz w:val="20"/>
                <w:szCs w:val="20"/>
                <w:color w:val="auto"/>
              </w:rPr>
            </w:pPr>
            <w:r>
              <w:rPr>
                <w:rFonts w:ascii="Arial" w:cs="Arial" w:eastAsia="Arial" w:hAnsi="Arial"/>
                <w:sz w:val="18"/>
                <w:szCs w:val="18"/>
                <w:b w:val="1"/>
                <w:bCs w:val="1"/>
                <w:color w:val="202124"/>
              </w:rPr>
              <w:t>LOCATION</w:t>
            </w:r>
          </w:p>
        </w:tc>
        <w:tc>
          <w:tcPr>
            <w:tcW w:w="3060" w:type="dxa"/>
            <w:vAlign w:val="bottom"/>
          </w:tcPr>
          <w:p>
            <w:pPr>
              <w:jc w:val="center"/>
              <w:ind w:right="688"/>
              <w:spacing w:after="0"/>
              <w:rPr>
                <w:sz w:val="20"/>
                <w:szCs w:val="20"/>
                <w:color w:val="auto"/>
              </w:rPr>
            </w:pPr>
            <w:r>
              <w:rPr>
                <w:rFonts w:ascii="Arial" w:cs="Arial" w:eastAsia="Arial" w:hAnsi="Arial"/>
                <w:sz w:val="18"/>
                <w:szCs w:val="18"/>
                <w:b w:val="1"/>
                <w:bCs w:val="1"/>
                <w:color w:val="202124"/>
                <w:w w:val="99"/>
              </w:rPr>
              <w:t>RECORD DATE</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2680" w:type="dxa"/>
            <w:vAlign w:val="bottom"/>
          </w:tcPr>
          <w:p>
            <w:pPr>
              <w:ind w:left="760"/>
              <w:spacing w:after="0"/>
              <w:rPr>
                <w:sz w:val="20"/>
                <w:szCs w:val="20"/>
                <w:color w:val="auto"/>
              </w:rPr>
            </w:pPr>
            <w:r>
              <w:rPr>
                <w:rFonts w:ascii="Arial" w:cs="Arial" w:eastAsia="Arial" w:hAnsi="Arial"/>
                <w:sz w:val="18"/>
                <w:szCs w:val="18"/>
                <w:color w:val="202124"/>
              </w:rPr>
              <w:t>December 16, 2026</w:t>
            </w:r>
          </w:p>
        </w:tc>
        <w:tc>
          <w:tcPr>
            <w:tcW w:w="3360" w:type="dxa"/>
            <w:vAlign w:val="bottom"/>
          </w:tcPr>
          <w:p>
            <w:pPr>
              <w:ind w:left="1020"/>
              <w:spacing w:after="0"/>
              <w:rPr>
                <w:sz w:val="20"/>
                <w:szCs w:val="20"/>
                <w:color w:val="auto"/>
              </w:rPr>
            </w:pPr>
            <w:r>
              <w:rPr>
                <w:rFonts w:ascii="Arial" w:cs="Arial" w:eastAsia="Arial" w:hAnsi="Arial"/>
                <w:sz w:val="18"/>
                <w:szCs w:val="18"/>
                <w:color w:val="202124"/>
              </w:rPr>
              <w:t>J.R. Hyde III Store Support</w:t>
            </w:r>
          </w:p>
        </w:tc>
        <w:tc>
          <w:tcPr>
            <w:tcW w:w="3680" w:type="dxa"/>
            <w:vAlign w:val="bottom"/>
            <w:gridSpan w:val="2"/>
          </w:tcPr>
          <w:p>
            <w:pPr>
              <w:ind w:left="1120"/>
              <w:spacing w:after="0"/>
              <w:rPr>
                <w:sz w:val="20"/>
                <w:szCs w:val="20"/>
                <w:color w:val="auto"/>
              </w:rPr>
            </w:pPr>
            <w:r>
              <w:rPr>
                <w:rFonts w:ascii="Arial" w:cs="Arial" w:eastAsia="Arial" w:hAnsi="Arial"/>
                <w:sz w:val="18"/>
                <w:szCs w:val="18"/>
                <w:color w:val="202124"/>
              </w:rPr>
              <w:t>Stockholders of record as of</w:t>
            </w:r>
          </w:p>
        </w:tc>
        <w:tc>
          <w:tcPr>
            <w:tcW w:w="0" w:type="dxa"/>
            <w:vAlign w:val="bottom"/>
          </w:tcPr>
          <w:p>
            <w:pPr>
              <w:spacing w:after="0"/>
              <w:rPr>
                <w:sz w:val="1"/>
                <w:szCs w:val="1"/>
                <w:color w:val="auto"/>
              </w:rPr>
            </w:pPr>
          </w:p>
        </w:tc>
      </w:tr>
      <w:tr>
        <w:trPr>
          <w:trHeight w:val="203"/>
        </w:trPr>
        <w:tc>
          <w:tcPr>
            <w:tcW w:w="2680" w:type="dxa"/>
            <w:vAlign w:val="bottom"/>
          </w:tcPr>
          <w:p>
            <w:pPr>
              <w:ind w:left="760"/>
              <w:spacing w:after="0" w:line="202" w:lineRule="exact"/>
              <w:rPr>
                <w:sz w:val="20"/>
                <w:szCs w:val="20"/>
                <w:color w:val="auto"/>
              </w:rPr>
            </w:pPr>
            <w:r>
              <w:rPr>
                <w:rFonts w:ascii="Arial" w:cs="Arial" w:eastAsia="Arial" w:hAnsi="Arial"/>
                <w:sz w:val="18"/>
                <w:szCs w:val="18"/>
                <w:color w:val="202124"/>
              </w:rPr>
              <w:t>at 8:00 a.m. CT</w:t>
            </w:r>
          </w:p>
        </w:tc>
        <w:tc>
          <w:tcPr>
            <w:tcW w:w="3360" w:type="dxa"/>
            <w:vAlign w:val="bottom"/>
          </w:tcPr>
          <w:p>
            <w:pPr>
              <w:ind w:left="1020"/>
              <w:spacing w:after="0" w:line="202" w:lineRule="exact"/>
              <w:rPr>
                <w:sz w:val="20"/>
                <w:szCs w:val="20"/>
                <w:color w:val="auto"/>
              </w:rPr>
            </w:pPr>
            <w:r>
              <w:rPr>
                <w:rFonts w:ascii="Arial" w:cs="Arial" w:eastAsia="Arial" w:hAnsi="Arial"/>
                <w:sz w:val="18"/>
                <w:szCs w:val="18"/>
                <w:color w:val="202124"/>
              </w:rPr>
              <w:t>Center, 123 S. Front Street,</w:t>
            </w:r>
          </w:p>
        </w:tc>
        <w:tc>
          <w:tcPr>
            <w:tcW w:w="3060" w:type="dxa"/>
            <w:vAlign w:val="bottom"/>
          </w:tcPr>
          <w:p>
            <w:pPr>
              <w:ind w:left="1120"/>
              <w:spacing w:after="0" w:line="202" w:lineRule="exact"/>
              <w:rPr>
                <w:sz w:val="20"/>
                <w:szCs w:val="20"/>
                <w:color w:val="auto"/>
              </w:rPr>
            </w:pPr>
            <w:r>
              <w:rPr>
                <w:rFonts w:ascii="Arial" w:cs="Arial" w:eastAsia="Arial" w:hAnsi="Arial"/>
                <w:sz w:val="18"/>
                <w:szCs w:val="18"/>
                <w:color w:val="202124"/>
                <w:w w:val="99"/>
              </w:rPr>
              <w:t>the close of business on</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3360" w:type="dxa"/>
            <w:vAlign w:val="bottom"/>
          </w:tcPr>
          <w:p>
            <w:pPr>
              <w:ind w:left="1020"/>
              <w:spacing w:after="0" w:line="202" w:lineRule="exact"/>
              <w:rPr>
                <w:sz w:val="20"/>
                <w:szCs w:val="20"/>
                <w:color w:val="auto"/>
              </w:rPr>
            </w:pPr>
            <w:r>
              <w:rPr>
                <w:rFonts w:ascii="Arial" w:cs="Arial" w:eastAsia="Arial" w:hAnsi="Arial"/>
                <w:sz w:val="18"/>
                <w:szCs w:val="18"/>
                <w:color w:val="202124"/>
              </w:rPr>
              <w:t>Memphis, Tennessee 38103</w:t>
            </w:r>
          </w:p>
        </w:tc>
        <w:tc>
          <w:tcPr>
            <w:tcW w:w="3680" w:type="dxa"/>
            <w:vAlign w:val="bottom"/>
            <w:gridSpan w:val="2"/>
          </w:tcPr>
          <w:p>
            <w:pPr>
              <w:ind w:left="1120"/>
              <w:spacing w:after="0" w:line="202" w:lineRule="exact"/>
              <w:rPr>
                <w:sz w:val="20"/>
                <w:szCs w:val="20"/>
                <w:color w:val="auto"/>
              </w:rPr>
            </w:pPr>
            <w:r>
              <w:rPr>
                <w:rFonts w:ascii="Arial" w:cs="Arial" w:eastAsia="Arial" w:hAnsi="Arial"/>
                <w:sz w:val="18"/>
                <w:szCs w:val="18"/>
                <w:color w:val="202124"/>
              </w:rPr>
              <w:t>October 19, 2026 are entitled</w:t>
            </w:r>
          </w:p>
        </w:tc>
        <w:tc>
          <w:tcPr>
            <w:tcW w:w="0" w:type="dxa"/>
            <w:vAlign w:val="bottom"/>
          </w:tcPr>
          <w:p>
            <w:pPr>
              <w:spacing w:after="0"/>
              <w:rPr>
                <w:sz w:val="1"/>
                <w:szCs w:val="1"/>
                <w:color w:val="auto"/>
              </w:rPr>
            </w:pPr>
          </w:p>
        </w:tc>
      </w:tr>
      <w:tr>
        <w:trPr>
          <w:trHeight w:val="239"/>
        </w:trPr>
        <w:tc>
          <w:tcPr>
            <w:tcW w:w="2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60" w:type="dxa"/>
            <w:vAlign w:val="bottom"/>
          </w:tcPr>
          <w:p>
            <w:pPr>
              <w:ind w:left="1120"/>
              <w:spacing w:after="0"/>
              <w:rPr>
                <w:sz w:val="20"/>
                <w:szCs w:val="20"/>
                <w:color w:val="auto"/>
              </w:rPr>
            </w:pPr>
            <w:r>
              <w:rPr>
                <w:rFonts w:ascii="Arial" w:cs="Arial" w:eastAsia="Arial" w:hAnsi="Arial"/>
                <w:sz w:val="18"/>
                <w:szCs w:val="18"/>
                <w:color w:val="202124"/>
              </w:rPr>
              <w:t>to vote.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6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2680" w:type="dxa"/>
            <w:vAlign w:val="bottom"/>
          </w:tcPr>
          <w:p>
            <w:pPr>
              <w:spacing w:after="0"/>
              <w:rPr>
                <w:sz w:val="20"/>
                <w:szCs w:val="20"/>
                <w:color w:val="auto"/>
              </w:rPr>
            </w:pPr>
            <w:r>
              <w:rPr>
                <w:rFonts w:ascii="Arial" w:cs="Arial" w:eastAsia="Arial" w:hAnsi="Arial"/>
                <w:sz w:val="18"/>
                <w:szCs w:val="18"/>
                <w:b w:val="1"/>
                <w:bCs w:val="1"/>
                <w:color w:val="F37F00"/>
              </w:rPr>
              <w:t>ITEMS OF BUSINESS</w:t>
            </w:r>
          </w:p>
        </w:tc>
        <w:tc>
          <w:tcPr>
            <w:tcW w:w="3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680" w:type="dxa"/>
            <w:vAlign w:val="bottom"/>
            <w:shd w:val="clear" w:color="auto" w:fill="202124"/>
          </w:tcPr>
          <w:p>
            <w:pPr>
              <w:ind w:left="140"/>
              <w:spacing w:after="0"/>
              <w:rPr>
                <w:sz w:val="20"/>
                <w:szCs w:val="20"/>
                <w:color w:val="auto"/>
              </w:rPr>
            </w:pPr>
            <w:r>
              <w:rPr>
                <w:rFonts w:ascii="Arial" w:cs="Arial" w:eastAsia="Arial" w:hAnsi="Arial"/>
                <w:sz w:val="18"/>
                <w:szCs w:val="18"/>
                <w:b w:val="1"/>
                <w:bCs w:val="1"/>
                <w:color w:val="FFFFFF"/>
              </w:rPr>
              <w:t>Proposal Number</w:t>
            </w:r>
          </w:p>
        </w:tc>
        <w:tc>
          <w:tcPr>
            <w:tcW w:w="3360" w:type="dxa"/>
            <w:vAlign w:val="bottom"/>
            <w:shd w:val="clear" w:color="auto" w:fill="202124"/>
          </w:tcPr>
          <w:p>
            <w:pPr>
              <w:spacing w:after="0"/>
              <w:rPr>
                <w:sz w:val="24"/>
                <w:szCs w:val="24"/>
                <w:color w:val="auto"/>
              </w:rPr>
            </w:pPr>
          </w:p>
        </w:tc>
        <w:tc>
          <w:tcPr>
            <w:tcW w:w="3060" w:type="dxa"/>
            <w:vAlign w:val="bottom"/>
            <w:shd w:val="clear" w:color="auto" w:fill="202124"/>
          </w:tcPr>
          <w:p>
            <w:pPr>
              <w:jc w:val="center"/>
              <w:ind w:right="688"/>
              <w:spacing w:after="0"/>
              <w:rPr>
                <w:sz w:val="20"/>
                <w:szCs w:val="20"/>
                <w:color w:val="auto"/>
              </w:rPr>
            </w:pPr>
            <w:r>
              <w:rPr>
                <w:rFonts w:ascii="Arial" w:cs="Arial" w:eastAsia="Arial" w:hAnsi="Arial"/>
                <w:sz w:val="18"/>
                <w:szCs w:val="18"/>
                <w:b w:val="1"/>
                <w:bCs w:val="1"/>
                <w:color w:val="FFFFFF"/>
                <w:w w:val="99"/>
              </w:rPr>
              <w:t>Board Recommendation</w:t>
            </w:r>
          </w:p>
        </w:tc>
        <w:tc>
          <w:tcPr>
            <w:tcW w:w="620" w:type="dxa"/>
            <w:vAlign w:val="bottom"/>
            <w:shd w:val="clear" w:color="auto" w:fill="202124"/>
          </w:tcPr>
          <w:p>
            <w:pPr>
              <w:jc w:val="center"/>
              <w:ind w:right="70"/>
              <w:spacing w:after="0"/>
              <w:rPr>
                <w:sz w:val="20"/>
                <w:szCs w:val="20"/>
                <w:color w:val="auto"/>
              </w:rPr>
            </w:pPr>
            <w:r>
              <w:rPr>
                <w:rFonts w:ascii="Arial" w:cs="Arial" w:eastAsia="Arial" w:hAnsi="Arial"/>
                <w:sz w:val="18"/>
                <w:szCs w:val="18"/>
                <w:b w:val="1"/>
                <w:bCs w:val="1"/>
                <w:color w:val="FFFFFF"/>
                <w:w w:val="97"/>
              </w:rPr>
              <w:t>Page</w:t>
            </w:r>
          </w:p>
        </w:tc>
        <w:tc>
          <w:tcPr>
            <w:tcW w:w="0" w:type="dxa"/>
            <w:vAlign w:val="bottom"/>
          </w:tcPr>
          <w:p>
            <w:pPr>
              <w:spacing w:after="0"/>
              <w:rPr>
                <w:sz w:val="1"/>
                <w:szCs w:val="1"/>
                <w:color w:val="auto"/>
              </w:rPr>
            </w:pPr>
          </w:p>
        </w:tc>
      </w:tr>
      <w:tr>
        <w:trPr>
          <w:trHeight w:val="90"/>
        </w:trPr>
        <w:tc>
          <w:tcPr>
            <w:tcW w:w="2680" w:type="dxa"/>
            <w:vAlign w:val="bottom"/>
            <w:tcBorders>
              <w:bottom w:val="single" w:sz="8" w:color="auto"/>
            </w:tcBorders>
            <w:shd w:val="clear" w:color="auto" w:fill="202124"/>
          </w:tcPr>
          <w:p>
            <w:pPr>
              <w:spacing w:after="0"/>
              <w:rPr>
                <w:sz w:val="7"/>
                <w:szCs w:val="7"/>
                <w:color w:val="auto"/>
              </w:rPr>
            </w:pPr>
          </w:p>
        </w:tc>
        <w:tc>
          <w:tcPr>
            <w:tcW w:w="3360" w:type="dxa"/>
            <w:vAlign w:val="bottom"/>
            <w:tcBorders>
              <w:bottom w:val="single" w:sz="8" w:color="auto"/>
            </w:tcBorders>
            <w:shd w:val="clear" w:color="auto" w:fill="202124"/>
          </w:tcPr>
          <w:p>
            <w:pPr>
              <w:spacing w:after="0"/>
              <w:rPr>
                <w:sz w:val="7"/>
                <w:szCs w:val="7"/>
                <w:color w:val="auto"/>
              </w:rPr>
            </w:pPr>
          </w:p>
        </w:tc>
        <w:tc>
          <w:tcPr>
            <w:tcW w:w="3060" w:type="dxa"/>
            <w:vAlign w:val="bottom"/>
            <w:tcBorders>
              <w:bottom w:val="single" w:sz="8" w:color="auto"/>
            </w:tcBorders>
            <w:shd w:val="clear" w:color="auto" w:fill="202124"/>
          </w:tcPr>
          <w:p>
            <w:pPr>
              <w:spacing w:after="0"/>
              <w:rPr>
                <w:sz w:val="7"/>
                <w:szCs w:val="7"/>
                <w:color w:val="auto"/>
              </w:rPr>
            </w:pPr>
          </w:p>
        </w:tc>
        <w:tc>
          <w:tcPr>
            <w:tcW w:w="620" w:type="dxa"/>
            <w:vAlign w:val="bottom"/>
            <w:tcBorders>
              <w:bottom w:val="single" w:sz="8" w:color="auto"/>
            </w:tcBorders>
            <w:shd w:val="clear" w:color="auto" w:fill="202124"/>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2680" w:type="dxa"/>
            <w:vAlign w:val="bottom"/>
            <w:vMerge w:val="restart"/>
          </w:tcPr>
          <w:p>
            <w:pPr>
              <w:ind w:left="140"/>
              <w:spacing w:after="0"/>
              <w:rPr>
                <w:sz w:val="20"/>
                <w:szCs w:val="20"/>
                <w:color w:val="auto"/>
              </w:rPr>
            </w:pPr>
            <w:r>
              <w:rPr>
                <w:rFonts w:ascii="Arial" w:cs="Arial" w:eastAsia="Arial" w:hAnsi="Arial"/>
                <w:sz w:val="18"/>
                <w:szCs w:val="18"/>
                <w:color w:val="202124"/>
              </w:rPr>
              <w:t>1.   Election of 10 directors</w:t>
            </w:r>
          </w:p>
        </w:tc>
        <w:tc>
          <w:tcPr>
            <w:tcW w:w="3360" w:type="dxa"/>
            <w:vAlign w:val="bottom"/>
          </w:tcPr>
          <w:p>
            <w:pPr>
              <w:spacing w:after="0"/>
              <w:rPr>
                <w:sz w:val="24"/>
                <w:szCs w:val="24"/>
                <w:color w:val="auto"/>
              </w:rPr>
            </w:pPr>
          </w:p>
        </w:tc>
        <w:tc>
          <w:tcPr>
            <w:tcW w:w="3060" w:type="dxa"/>
            <w:vAlign w:val="bottom"/>
          </w:tcPr>
          <w:p>
            <w:pPr>
              <w:jc w:val="center"/>
              <w:ind w:right="708"/>
              <w:spacing w:after="0"/>
              <w:rPr>
                <w:sz w:val="20"/>
                <w:szCs w:val="20"/>
                <w:color w:val="auto"/>
              </w:rPr>
            </w:pPr>
            <w:r>
              <w:rPr>
                <w:rFonts w:ascii="Arial" w:cs="Arial" w:eastAsia="Arial" w:hAnsi="Arial"/>
                <w:sz w:val="22"/>
                <w:szCs w:val="22"/>
                <w:b w:val="1"/>
                <w:bCs w:val="1"/>
                <w:color w:val="F37F00"/>
                <w:w w:val="98"/>
              </w:rPr>
              <w:t>FOR</w:t>
            </w:r>
          </w:p>
        </w:tc>
        <w:tc>
          <w:tcPr>
            <w:tcW w:w="620" w:type="dxa"/>
            <w:vAlign w:val="bottom"/>
            <w:vMerge w:val="restart"/>
          </w:tcPr>
          <w:p>
            <w:pPr>
              <w:jc w:val="right"/>
              <w:ind w:right="210"/>
              <w:spacing w:after="0"/>
              <w:rPr>
                <w:sz w:val="20"/>
                <w:szCs w:val="20"/>
                <w:color w:val="auto"/>
              </w:rPr>
            </w:pPr>
            <w:r>
              <w:rPr>
                <w:rFonts w:ascii="Arial" w:cs="Arial" w:eastAsia="Arial" w:hAnsi="Arial"/>
                <w:sz w:val="18"/>
                <w:szCs w:val="18"/>
                <w:color w:val="202124"/>
              </w:rPr>
              <w:t>25</w:t>
            </w:r>
          </w:p>
        </w:tc>
        <w:tc>
          <w:tcPr>
            <w:tcW w:w="0" w:type="dxa"/>
            <w:vAlign w:val="bottom"/>
          </w:tcPr>
          <w:p>
            <w:pPr>
              <w:spacing w:after="0"/>
              <w:rPr>
                <w:sz w:val="1"/>
                <w:szCs w:val="1"/>
                <w:color w:val="auto"/>
              </w:rPr>
            </w:pPr>
          </w:p>
        </w:tc>
      </w:tr>
      <w:tr>
        <w:trPr>
          <w:trHeight w:val="117"/>
        </w:trPr>
        <w:tc>
          <w:tcPr>
            <w:tcW w:w="268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060" w:type="dxa"/>
            <w:vAlign w:val="bottom"/>
            <w:vMerge w:val="restart"/>
          </w:tcPr>
          <w:p>
            <w:pPr>
              <w:jc w:val="center"/>
              <w:ind w:right="708"/>
              <w:spacing w:after="0"/>
              <w:rPr>
                <w:sz w:val="20"/>
                <w:szCs w:val="20"/>
                <w:color w:val="auto"/>
              </w:rPr>
            </w:pPr>
            <w:r>
              <w:rPr>
                <w:rFonts w:ascii="Arial" w:cs="Arial" w:eastAsia="Arial" w:hAnsi="Arial"/>
                <w:sz w:val="18"/>
                <w:szCs w:val="18"/>
                <w:color w:val="202124"/>
                <w:w w:val="99"/>
              </w:rPr>
              <w:t>each of the directors</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180" w:hanging="398"/>
        <w:spacing w:after="0"/>
        <w:tabs>
          <w:tab w:leader="none" w:pos="1180" w:val="left"/>
        </w:tabs>
        <w:numPr>
          <w:ilvl w:val="0"/>
          <w:numId w:val="5"/>
        </w:numPr>
        <w:rPr>
          <w:rFonts w:ascii="Arial" w:cs="Arial" w:eastAsia="Arial" w:hAnsi="Arial"/>
          <w:sz w:val="36"/>
          <w:szCs w:val="36"/>
          <w:color w:val="202124"/>
          <w:vertAlign w:val="superscript"/>
        </w:rPr>
      </w:pPr>
      <w:r>
        <w:rPr>
          <w:rFonts w:ascii="Arial" w:cs="Arial" w:eastAsia="Arial" w:hAnsi="Arial"/>
          <w:sz w:val="18"/>
          <w:szCs w:val="18"/>
          <w:color w:val="202124"/>
        </w:rPr>
        <w:t>Ratification of the appointment of Ernst &amp; Young LLP as our</w:t>
      </w:r>
    </w:p>
    <w:tbl>
      <w:tblPr>
        <w:tblLayout w:type="fixed"/>
        <w:tblInd w:w="64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5720" w:type="dxa"/>
            <w:vAlign w:val="bottom"/>
          </w:tcPr>
          <w:p>
            <w:pPr>
              <w:ind w:left="120"/>
              <w:spacing w:after="0" w:line="204" w:lineRule="exact"/>
              <w:rPr>
                <w:sz w:val="20"/>
                <w:szCs w:val="20"/>
                <w:color w:val="auto"/>
              </w:rPr>
            </w:pPr>
            <w:r>
              <w:rPr>
                <w:rFonts w:ascii="Arial" w:cs="Arial" w:eastAsia="Arial" w:hAnsi="Arial"/>
                <w:sz w:val="18"/>
                <w:szCs w:val="18"/>
                <w:color w:val="202124"/>
              </w:rPr>
              <w:t>independent registered public accounting firm for the 2027</w:t>
            </w:r>
          </w:p>
        </w:tc>
        <w:tc>
          <w:tcPr>
            <w:tcW w:w="2180" w:type="dxa"/>
            <w:vAlign w:val="bottom"/>
          </w:tcPr>
          <w:p>
            <w:pPr>
              <w:ind w:left="800"/>
              <w:spacing w:after="0" w:line="204" w:lineRule="exact"/>
              <w:rPr>
                <w:sz w:val="20"/>
                <w:szCs w:val="20"/>
                <w:color w:val="auto"/>
              </w:rPr>
            </w:pPr>
            <w:r>
              <w:rPr>
                <w:rFonts w:ascii="Arial" w:cs="Arial" w:eastAsia="Arial" w:hAnsi="Arial"/>
                <w:sz w:val="22"/>
                <w:szCs w:val="22"/>
                <w:b w:val="1"/>
                <w:bCs w:val="1"/>
                <w:color w:val="F37F00"/>
              </w:rPr>
              <w:t>FOR</w:t>
            </w:r>
          </w:p>
        </w:tc>
        <w:tc>
          <w:tcPr>
            <w:tcW w:w="1400" w:type="dxa"/>
            <w:vAlign w:val="bottom"/>
          </w:tcPr>
          <w:p>
            <w:pPr>
              <w:jc w:val="right"/>
              <w:ind w:right="210"/>
              <w:spacing w:after="0" w:line="204" w:lineRule="exact"/>
              <w:rPr>
                <w:sz w:val="20"/>
                <w:szCs w:val="20"/>
                <w:color w:val="auto"/>
              </w:rPr>
            </w:pPr>
            <w:r>
              <w:rPr>
                <w:rFonts w:ascii="Arial" w:cs="Arial" w:eastAsia="Arial" w:hAnsi="Arial"/>
                <w:sz w:val="18"/>
                <w:szCs w:val="18"/>
                <w:color w:val="202124"/>
              </w:rPr>
              <w:t>31</w:t>
            </w:r>
          </w:p>
        </w:tc>
        <w:tc>
          <w:tcPr>
            <w:tcW w:w="0" w:type="dxa"/>
            <w:vAlign w:val="bottom"/>
          </w:tcPr>
          <w:p>
            <w:pPr>
              <w:spacing w:after="0"/>
              <w:rPr>
                <w:sz w:val="1"/>
                <w:szCs w:val="1"/>
                <w:color w:val="auto"/>
              </w:rPr>
            </w:pPr>
          </w:p>
        </w:tc>
      </w:tr>
      <w:tr>
        <w:trPr>
          <w:trHeight w:val="239"/>
        </w:trPr>
        <w:tc>
          <w:tcPr>
            <w:tcW w:w="42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202124"/>
              </w:rPr>
              <w:t>fiscal year</w:t>
            </w:r>
          </w:p>
        </w:tc>
        <w:tc>
          <w:tcPr>
            <w:tcW w:w="2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20" w:type="dxa"/>
            <w:vAlign w:val="bottom"/>
            <w:tcBorders>
              <w:bottom w:val="single" w:sz="8" w:color="808080"/>
            </w:tcBorders>
          </w:tcPr>
          <w:p>
            <w:pPr>
              <w:spacing w:after="0"/>
              <w:rPr>
                <w:sz w:val="11"/>
                <w:szCs w:val="11"/>
                <w:color w:val="auto"/>
              </w:rPr>
            </w:pPr>
          </w:p>
        </w:tc>
        <w:tc>
          <w:tcPr>
            <w:tcW w:w="572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20" w:type="dxa"/>
            <w:vAlign w:val="bottom"/>
          </w:tcPr>
          <w:p>
            <w:pPr>
              <w:jc w:val="right"/>
              <w:ind w:right="30"/>
              <w:spacing w:after="0"/>
              <w:rPr>
                <w:sz w:val="20"/>
                <w:szCs w:val="20"/>
                <w:color w:val="auto"/>
              </w:rPr>
            </w:pPr>
            <w:r>
              <w:rPr>
                <w:rFonts w:ascii="Arial" w:cs="Arial" w:eastAsia="Arial" w:hAnsi="Arial"/>
                <w:sz w:val="18"/>
                <w:szCs w:val="18"/>
                <w:color w:val="202124"/>
              </w:rPr>
              <w:t>3.</w:t>
            </w:r>
          </w:p>
        </w:tc>
        <w:tc>
          <w:tcPr>
            <w:tcW w:w="5720" w:type="dxa"/>
            <w:vAlign w:val="bottom"/>
          </w:tcPr>
          <w:p>
            <w:pPr>
              <w:ind w:left="120"/>
              <w:spacing w:after="0"/>
              <w:rPr>
                <w:sz w:val="20"/>
                <w:szCs w:val="20"/>
                <w:color w:val="auto"/>
              </w:rPr>
            </w:pPr>
            <w:r>
              <w:rPr>
                <w:rFonts w:ascii="Arial" w:cs="Arial" w:eastAsia="Arial" w:hAnsi="Arial"/>
                <w:sz w:val="18"/>
                <w:szCs w:val="18"/>
                <w:color w:val="202124"/>
              </w:rPr>
              <w:t>Approval of an advisory vote on the compensation of named</w:t>
            </w:r>
          </w:p>
        </w:tc>
        <w:tc>
          <w:tcPr>
            <w:tcW w:w="2180" w:type="dxa"/>
            <w:vAlign w:val="bottom"/>
            <w:vMerge w:val="restart"/>
          </w:tcPr>
          <w:p>
            <w:pPr>
              <w:ind w:left="800"/>
              <w:spacing w:after="0"/>
              <w:rPr>
                <w:sz w:val="20"/>
                <w:szCs w:val="20"/>
                <w:color w:val="auto"/>
              </w:rPr>
            </w:pPr>
            <w:r>
              <w:rPr>
                <w:rFonts w:ascii="Arial" w:cs="Arial" w:eastAsia="Arial" w:hAnsi="Arial"/>
                <w:sz w:val="22"/>
                <w:szCs w:val="22"/>
                <w:b w:val="1"/>
                <w:bCs w:val="1"/>
                <w:color w:val="F37F00"/>
              </w:rPr>
              <w:t>FOR</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202124"/>
              </w:rPr>
              <w:t>33</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202124"/>
              </w:rPr>
              <w:t>executive officers</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2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2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420" w:type="dxa"/>
            <w:vAlign w:val="bottom"/>
            <w:tcBorders>
              <w:bottom w:val="single" w:sz="8" w:color="808080"/>
            </w:tcBorders>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420" w:type="dxa"/>
            <w:vAlign w:val="bottom"/>
          </w:tcPr>
          <w:p>
            <w:pPr>
              <w:jc w:val="right"/>
              <w:ind w:right="30"/>
              <w:spacing w:after="0"/>
              <w:rPr>
                <w:sz w:val="20"/>
                <w:szCs w:val="20"/>
                <w:color w:val="auto"/>
              </w:rPr>
            </w:pPr>
            <w:r>
              <w:rPr>
                <w:rFonts w:ascii="Arial" w:cs="Arial" w:eastAsia="Arial" w:hAnsi="Arial"/>
                <w:sz w:val="18"/>
                <w:szCs w:val="18"/>
                <w:color w:val="202124"/>
              </w:rPr>
              <w:t>4.</w:t>
            </w:r>
          </w:p>
        </w:tc>
        <w:tc>
          <w:tcPr>
            <w:tcW w:w="5720" w:type="dxa"/>
            <w:vAlign w:val="bottom"/>
          </w:tcPr>
          <w:p>
            <w:pPr>
              <w:ind w:left="120"/>
              <w:spacing w:after="0"/>
              <w:rPr>
                <w:sz w:val="20"/>
                <w:szCs w:val="20"/>
                <w:color w:val="auto"/>
              </w:rPr>
            </w:pPr>
            <w:r>
              <w:rPr>
                <w:rFonts w:ascii="Arial" w:cs="Arial" w:eastAsia="Arial" w:hAnsi="Arial"/>
                <w:sz w:val="18"/>
                <w:szCs w:val="18"/>
                <w:color w:val="202124"/>
              </w:rPr>
              <w:t>Approval of AutoZone, Inc.’s Ninth Amended and Restated</w:t>
            </w:r>
          </w:p>
        </w:tc>
        <w:tc>
          <w:tcPr>
            <w:tcW w:w="2180" w:type="dxa"/>
            <w:vAlign w:val="bottom"/>
            <w:vMerge w:val="restart"/>
          </w:tcPr>
          <w:p>
            <w:pPr>
              <w:ind w:left="800"/>
              <w:spacing w:after="0"/>
              <w:rPr>
                <w:sz w:val="20"/>
                <w:szCs w:val="20"/>
                <w:color w:val="auto"/>
              </w:rPr>
            </w:pPr>
            <w:r>
              <w:rPr>
                <w:rFonts w:ascii="Arial" w:cs="Arial" w:eastAsia="Arial" w:hAnsi="Arial"/>
                <w:sz w:val="22"/>
                <w:szCs w:val="22"/>
                <w:b w:val="1"/>
                <w:bCs w:val="1"/>
                <w:color w:val="F37F00"/>
              </w:rPr>
              <w:t>FOR</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202124"/>
              </w:rPr>
              <w:t>34</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202124"/>
              </w:rPr>
              <w:t>Employee Stock Purchase Plan</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2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2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420" w:type="dxa"/>
            <w:vAlign w:val="bottom"/>
            <w:tcBorders>
              <w:bottom w:val="single" w:sz="8" w:color="808080"/>
            </w:tcBorders>
          </w:tcPr>
          <w:p>
            <w:pPr>
              <w:spacing w:after="0"/>
              <w:rPr>
                <w:sz w:val="6"/>
                <w:szCs w:val="6"/>
                <w:color w:val="auto"/>
              </w:rPr>
            </w:pPr>
          </w:p>
        </w:tc>
        <w:tc>
          <w:tcPr>
            <w:tcW w:w="572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420" w:type="dxa"/>
            <w:vAlign w:val="bottom"/>
          </w:tcPr>
          <w:p>
            <w:pPr>
              <w:jc w:val="right"/>
              <w:ind w:right="30"/>
              <w:spacing w:after="0"/>
              <w:rPr>
                <w:sz w:val="20"/>
                <w:szCs w:val="20"/>
                <w:color w:val="auto"/>
              </w:rPr>
            </w:pPr>
            <w:r>
              <w:rPr>
                <w:rFonts w:ascii="Arial" w:cs="Arial" w:eastAsia="Arial" w:hAnsi="Arial"/>
                <w:sz w:val="18"/>
                <w:szCs w:val="18"/>
                <w:color w:val="202124"/>
              </w:rPr>
              <w:t>5.</w:t>
            </w:r>
          </w:p>
        </w:tc>
        <w:tc>
          <w:tcPr>
            <w:tcW w:w="5720" w:type="dxa"/>
            <w:vAlign w:val="bottom"/>
          </w:tcPr>
          <w:p>
            <w:pPr>
              <w:ind w:left="120"/>
              <w:spacing w:after="0"/>
              <w:rPr>
                <w:sz w:val="20"/>
                <w:szCs w:val="20"/>
                <w:color w:val="auto"/>
              </w:rPr>
            </w:pPr>
            <w:r>
              <w:rPr>
                <w:rFonts w:ascii="Arial" w:cs="Arial" w:eastAsia="Arial" w:hAnsi="Arial"/>
                <w:sz w:val="18"/>
                <w:szCs w:val="18"/>
                <w:color w:val="202124"/>
              </w:rPr>
              <w:t>Approval of AutoZone, Inc.’s Seventh Amended and</w:t>
            </w:r>
          </w:p>
        </w:tc>
        <w:tc>
          <w:tcPr>
            <w:tcW w:w="2180" w:type="dxa"/>
            <w:vAlign w:val="bottom"/>
            <w:vMerge w:val="restart"/>
          </w:tcPr>
          <w:p>
            <w:pPr>
              <w:ind w:left="800"/>
              <w:spacing w:after="0"/>
              <w:rPr>
                <w:sz w:val="20"/>
                <w:szCs w:val="20"/>
                <w:color w:val="auto"/>
              </w:rPr>
            </w:pPr>
            <w:r>
              <w:rPr>
                <w:rFonts w:ascii="Arial" w:cs="Arial" w:eastAsia="Arial" w:hAnsi="Arial"/>
                <w:sz w:val="22"/>
                <w:szCs w:val="22"/>
                <w:b w:val="1"/>
                <w:bCs w:val="1"/>
                <w:color w:val="F37F00"/>
              </w:rPr>
              <w:t>FOR</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202124"/>
              </w:rPr>
              <w:t>37</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202124"/>
              </w:rPr>
              <w:t>Restated Executive Stock Purchase Plan</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2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2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VOTING</w:t>
      </w:r>
    </w:p>
    <w:p>
      <w:pPr>
        <w:spacing w:after="0" w:line="104" w:lineRule="exact"/>
        <w:rPr>
          <w:sz w:val="20"/>
          <w:szCs w:val="20"/>
          <w:color w:val="auto"/>
        </w:rPr>
      </w:pPr>
    </w:p>
    <w:p>
      <w:pPr>
        <w:ind w:left="640" w:right="200"/>
        <w:spacing w:after="0" w:line="253" w:lineRule="auto"/>
        <w:rPr>
          <w:sz w:val="20"/>
          <w:szCs w:val="20"/>
          <w:color w:val="auto"/>
        </w:rPr>
      </w:pPr>
      <w:r>
        <w:rPr>
          <w:rFonts w:ascii="Arial" w:cs="Arial" w:eastAsia="Arial" w:hAnsi="Arial"/>
          <w:sz w:val="18"/>
          <w:szCs w:val="18"/>
          <w:color w:val="202124"/>
        </w:rPr>
        <w:t>We strongly encourage you to submit your vote as promptly as possible through the Internet, by telephone or by mailing your completed and signed proxy card (or voting instruction form, if you hold your shares through a broker, bank or nominee), even if you plan to attend the Annual Meeting.</w:t>
      </w:r>
    </w:p>
    <w:p>
      <w:pPr>
        <w:spacing w:after="0" w:line="133" w:lineRule="exact"/>
        <w:rPr>
          <w:sz w:val="20"/>
          <w:szCs w:val="20"/>
          <w:color w:val="auto"/>
        </w:rPr>
      </w:pPr>
    </w:p>
    <w:p>
      <w:pPr>
        <w:ind w:left="660"/>
        <w:spacing w:after="0"/>
        <w:tabs>
          <w:tab w:leader="none" w:pos="3100" w:val="left"/>
          <w:tab w:leader="none" w:pos="5500" w:val="left"/>
          <w:tab w:leader="none" w:pos="8000" w:val="left"/>
        </w:tabs>
        <w:rPr>
          <w:sz w:val="20"/>
          <w:szCs w:val="20"/>
          <w:color w:val="auto"/>
        </w:rPr>
      </w:pPr>
      <w:r>
        <w:rPr>
          <w:rFonts w:ascii="Arial" w:cs="Arial" w:eastAsia="Arial" w:hAnsi="Arial"/>
          <w:sz w:val="16"/>
          <w:szCs w:val="16"/>
          <w:b w:val="1"/>
          <w:bCs w:val="1"/>
          <w:color w:val="202124"/>
        </w:rPr>
        <w:t>Internet</w:t>
      </w:r>
      <w:r>
        <w:rPr>
          <w:sz w:val="20"/>
          <w:szCs w:val="20"/>
          <w:color w:val="auto"/>
        </w:rPr>
        <w:tab/>
      </w:r>
      <w:r>
        <w:rPr>
          <w:rFonts w:ascii="Arial" w:cs="Arial" w:eastAsia="Arial" w:hAnsi="Arial"/>
          <w:sz w:val="16"/>
          <w:szCs w:val="16"/>
          <w:b w:val="1"/>
          <w:bCs w:val="1"/>
          <w:color w:val="202124"/>
        </w:rPr>
        <w:t>Telephone</w:t>
      </w:r>
      <w:r>
        <w:rPr>
          <w:sz w:val="20"/>
          <w:szCs w:val="20"/>
          <w:color w:val="auto"/>
        </w:rPr>
        <w:tab/>
      </w:r>
      <w:r>
        <w:rPr>
          <w:rFonts w:ascii="Arial" w:cs="Arial" w:eastAsia="Arial" w:hAnsi="Arial"/>
          <w:sz w:val="16"/>
          <w:szCs w:val="16"/>
          <w:b w:val="1"/>
          <w:bCs w:val="1"/>
          <w:color w:val="202124"/>
        </w:rPr>
        <w:t>Mail</w:t>
      </w:r>
      <w:r>
        <w:rPr>
          <w:sz w:val="20"/>
          <w:szCs w:val="20"/>
          <w:color w:val="auto"/>
        </w:rPr>
        <w:tab/>
      </w:r>
      <w:r>
        <w:rPr>
          <w:rFonts w:ascii="Arial" w:cs="Arial" w:eastAsia="Arial" w:hAnsi="Arial"/>
          <w:sz w:val="15"/>
          <w:szCs w:val="15"/>
          <w:b w:val="1"/>
          <w:bCs w:val="1"/>
          <w:color w:val="202124"/>
        </w:rPr>
        <w:t>At the Meeting</w:t>
      </w:r>
    </w:p>
    <w:p>
      <w:pPr>
        <w:sectPr>
          <w:pgSz w:w="11900" w:h="16838" w:orient="portrait"/>
          <w:cols w:equalWidth="0" w:num="1">
            <w:col w:w="10360"/>
          </w:cols>
          <w:pgMar w:left="440" w:top="106" w:right="1099" w:bottom="1440" w:gutter="0" w:footer="0" w:header="0"/>
        </w:sectPr>
      </w:pPr>
    </w:p>
    <w:p>
      <w:pPr>
        <w:spacing w:after="0" w:line="64" w:lineRule="exact"/>
        <w:rPr>
          <w:sz w:val="20"/>
          <w:szCs w:val="20"/>
          <w:color w:val="auto"/>
        </w:rPr>
      </w:pPr>
    </w:p>
    <w:p>
      <w:pPr>
        <w:ind w:left="1280"/>
        <w:spacing w:after="0"/>
        <w:tabs>
          <w:tab w:leader="none" w:pos="3620" w:val="left"/>
        </w:tabs>
        <w:rPr>
          <w:sz w:val="20"/>
          <w:szCs w:val="20"/>
          <w:color w:val="auto"/>
        </w:rPr>
      </w:pPr>
      <w:r>
        <w:rPr>
          <w:rFonts w:ascii="Arial" w:cs="Arial" w:eastAsia="Arial" w:hAnsi="Arial"/>
          <w:sz w:val="14"/>
          <w:szCs w:val="14"/>
          <w:color w:val="202124"/>
        </w:rPr>
        <w:t>Visit the website on your</w:t>
      </w:r>
      <w:r>
        <w:rPr>
          <w:sz w:val="20"/>
          <w:szCs w:val="20"/>
          <w:color w:val="auto"/>
        </w:rPr>
        <w:tab/>
      </w:r>
      <w:r>
        <w:rPr>
          <w:rFonts w:ascii="Arial" w:cs="Arial" w:eastAsia="Arial" w:hAnsi="Arial"/>
          <w:sz w:val="14"/>
          <w:szCs w:val="14"/>
          <w:color w:val="202124"/>
        </w:rPr>
        <w:t>Call the telephone number</w:t>
      </w:r>
    </w:p>
    <w:p>
      <w:pPr>
        <w:spacing w:after="0" w:line="15" w:lineRule="exact"/>
        <w:rPr>
          <w:sz w:val="20"/>
          <w:szCs w:val="20"/>
          <w:color w:val="auto"/>
        </w:rPr>
      </w:pPr>
    </w:p>
    <w:p>
      <w:pPr>
        <w:ind w:left="1280"/>
        <w:spacing w:after="0"/>
        <w:tabs>
          <w:tab w:leader="none" w:pos="3620" w:val="left"/>
        </w:tabs>
        <w:rPr>
          <w:sz w:val="20"/>
          <w:szCs w:val="20"/>
          <w:color w:val="auto"/>
        </w:rPr>
      </w:pPr>
      <w:r>
        <w:rPr>
          <w:rFonts w:ascii="Arial" w:cs="Arial" w:eastAsia="Arial" w:hAnsi="Arial"/>
          <w:sz w:val="14"/>
          <w:szCs w:val="14"/>
          <w:color w:val="202124"/>
        </w:rPr>
        <w:t>proxy card, voting</w:t>
      </w:r>
      <w:r>
        <w:rPr>
          <w:sz w:val="20"/>
          <w:szCs w:val="20"/>
          <w:color w:val="auto"/>
        </w:rPr>
        <w:tab/>
      </w:r>
      <w:r>
        <w:rPr>
          <w:rFonts w:ascii="Arial" w:cs="Arial" w:eastAsia="Arial" w:hAnsi="Arial"/>
          <w:sz w:val="14"/>
          <w:szCs w:val="14"/>
          <w:color w:val="202124"/>
        </w:rPr>
        <w:t>on your proxy card, voting</w:t>
      </w:r>
    </w:p>
    <w:p>
      <w:pPr>
        <w:spacing w:after="0" w:line="1" w:lineRule="exact"/>
        <w:rPr>
          <w:sz w:val="20"/>
          <w:szCs w:val="20"/>
          <w:color w:val="auto"/>
        </w:rPr>
      </w:pPr>
    </w:p>
    <w:p>
      <w:pPr>
        <w:ind w:left="1280"/>
        <w:spacing w:after="0"/>
        <w:tabs>
          <w:tab w:leader="none" w:pos="3620" w:val="left"/>
        </w:tabs>
        <w:rPr>
          <w:sz w:val="20"/>
          <w:szCs w:val="20"/>
          <w:color w:val="auto"/>
        </w:rPr>
      </w:pPr>
      <w:r>
        <w:rPr>
          <w:rFonts w:ascii="Arial" w:cs="Arial" w:eastAsia="Arial" w:hAnsi="Arial"/>
          <w:sz w:val="14"/>
          <w:szCs w:val="14"/>
          <w:color w:val="202124"/>
        </w:rPr>
        <w:t>instruction form or</w:t>
      </w:r>
      <w:r>
        <w:rPr>
          <w:sz w:val="20"/>
          <w:szCs w:val="20"/>
          <w:color w:val="auto"/>
        </w:rPr>
        <w:tab/>
      </w:r>
      <w:r>
        <w:rPr>
          <w:rFonts w:ascii="Arial" w:cs="Arial" w:eastAsia="Arial" w:hAnsi="Arial"/>
          <w:sz w:val="14"/>
          <w:szCs w:val="14"/>
          <w:color w:val="202124"/>
        </w:rPr>
        <w:t>instruction form or</w:t>
      </w:r>
    </w:p>
    <w:p>
      <w:pPr>
        <w:spacing w:after="0" w:line="1" w:lineRule="exact"/>
        <w:rPr>
          <w:sz w:val="20"/>
          <w:szCs w:val="20"/>
          <w:color w:val="auto"/>
        </w:rPr>
      </w:pPr>
    </w:p>
    <w:p>
      <w:pPr>
        <w:ind w:left="1280"/>
        <w:spacing w:after="0"/>
        <w:tabs>
          <w:tab w:leader="none" w:pos="3620" w:val="left"/>
        </w:tabs>
        <w:rPr>
          <w:sz w:val="20"/>
          <w:szCs w:val="20"/>
          <w:color w:val="auto"/>
        </w:rPr>
      </w:pPr>
      <w:r>
        <w:rPr>
          <w:rFonts w:ascii="Arial" w:cs="Arial" w:eastAsia="Arial" w:hAnsi="Arial"/>
          <w:sz w:val="14"/>
          <w:szCs w:val="14"/>
          <w:color w:val="202124"/>
        </w:rPr>
        <w:t>electronic</w:t>
      </w:r>
      <w:r>
        <w:rPr>
          <w:sz w:val="20"/>
          <w:szCs w:val="20"/>
          <w:color w:val="auto"/>
        </w:rPr>
        <w:tab/>
      </w:r>
      <w:r>
        <w:rPr>
          <w:rFonts w:ascii="Arial" w:cs="Arial" w:eastAsia="Arial" w:hAnsi="Arial"/>
          <w:sz w:val="14"/>
          <w:szCs w:val="14"/>
          <w:color w:val="202124"/>
        </w:rPr>
        <w:t>electronic communications.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202124"/>
        </w:rPr>
        <w:t>communications.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202124"/>
        </w:rPr>
        <w:t>Sign, date and return your proxy card or voting instruction form in the enclosed envelope.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380"/>
        <w:spacing w:after="0" w:line="263" w:lineRule="auto"/>
        <w:rPr>
          <w:sz w:val="20"/>
          <w:szCs w:val="20"/>
          <w:color w:val="auto"/>
        </w:rPr>
      </w:pPr>
      <w:r>
        <w:rPr>
          <w:rFonts w:ascii="Arial" w:cs="Arial" w:eastAsia="Arial" w:hAnsi="Arial"/>
          <w:sz w:val="14"/>
          <w:szCs w:val="14"/>
          <w:color w:val="202124"/>
        </w:rPr>
        <w:t>Attend the Annual Meeting and vote in-person.</w:t>
      </w:r>
    </w:p>
    <w:p>
      <w:pPr>
        <w:spacing w:after="0" w:line="493" w:lineRule="exact"/>
        <w:rPr>
          <w:sz w:val="20"/>
          <w:szCs w:val="20"/>
          <w:color w:val="auto"/>
        </w:rPr>
      </w:pPr>
    </w:p>
    <w:p>
      <w:pPr>
        <w:sectPr>
          <w:pgSz w:w="11900" w:h="16838" w:orient="portrait"/>
          <w:cols w:equalWidth="0" w:num="3">
            <w:col w:w="5460" w:space="720"/>
            <w:col w:w="1780" w:space="720"/>
            <w:col w:w="1680"/>
          </w:cols>
          <w:pgMar w:left="440" w:top="106" w:right="1099" w:bottom="1440" w:gutter="0" w:footer="0" w:header="0"/>
          <w:type w:val="continuous"/>
        </w:sectPr>
      </w:pP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For more specific instructions on how to vote as well as how to attend the Annual Meeting, please see page 77.</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ABOUT THESE MATERIALS</w:t>
      </w:r>
    </w:p>
    <w:p>
      <w:pPr>
        <w:spacing w:after="0" w:line="104" w:lineRule="exact"/>
        <w:rPr>
          <w:sz w:val="20"/>
          <w:szCs w:val="20"/>
          <w:color w:val="auto"/>
        </w:rPr>
      </w:pPr>
    </w:p>
    <w:p>
      <w:pPr>
        <w:jc w:val="both"/>
        <w:ind w:left="640" w:right="20"/>
        <w:spacing w:after="0" w:line="253" w:lineRule="auto"/>
        <w:rPr>
          <w:sz w:val="20"/>
          <w:szCs w:val="20"/>
          <w:color w:val="auto"/>
        </w:rPr>
      </w:pPr>
      <w:r>
        <w:rPr>
          <w:rFonts w:ascii="Arial" w:cs="Arial" w:eastAsia="Arial" w:hAnsi="Arial"/>
          <w:sz w:val="18"/>
          <w:szCs w:val="18"/>
          <w:color w:val="202124"/>
        </w:rPr>
        <w:t>We began mailing our Notice of Internet Availability of Proxy Materials (the “Notice”) to each stockholder entitled to vote at the Annual Meeting on or about October 27, 2026. Our Board of Directors (the “Board”) has sent you this Proxy Statement to solicit your vote at the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20" w:type="dxa"/>
            <w:vAlign w:val="bottom"/>
          </w:tcPr>
          <w:p>
            <w:pPr>
              <w:jc w:val="right"/>
              <w:spacing w:after="0"/>
              <w:rPr>
                <w:sz w:val="20"/>
                <w:szCs w:val="20"/>
                <w:color w:val="auto"/>
              </w:rPr>
            </w:pPr>
            <w:r>
              <w:rPr>
                <w:rFonts w:ascii="Arial" w:cs="Arial" w:eastAsia="Arial" w:hAnsi="Arial"/>
                <w:sz w:val="18"/>
                <w:szCs w:val="18"/>
                <w:color w:val="202124"/>
              </w:rPr>
              <w:t>1</w:t>
            </w:r>
          </w:p>
        </w:tc>
      </w:tr>
    </w:tbl>
    <w:p>
      <w:pPr>
        <w:sectPr>
          <w:pgSz w:w="11900" w:h="16838" w:orient="portrait"/>
          <w:cols w:equalWidth="0" w:num="1">
            <w:col w:w="10360"/>
          </w:cols>
          <w:pgMar w:left="440" w:top="106" w:right="10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0"/>
        <w:spacing w:after="0"/>
        <w:rPr>
          <w:sz w:val="20"/>
          <w:szCs w:val="20"/>
          <w:color w:val="auto"/>
        </w:rPr>
      </w:pPr>
      <w:r>
        <w:rPr>
          <w:rFonts w:ascii="Arial" w:cs="Arial" w:eastAsia="Arial" w:hAnsi="Arial"/>
          <w:sz w:val="43"/>
          <w:szCs w:val="43"/>
          <w:b w:val="1"/>
          <w:bCs w:val="1"/>
          <w:color w:val="F37F00"/>
        </w:rPr>
        <w:t>AutoZone Highlights</w:t>
      </w:r>
    </w:p>
    <w:p>
      <w:pPr>
        <w:spacing w:after="0" w:line="19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37F00"/>
        </w:rPr>
        <w:t>FY26 FINANCIAL AND OPERATIONAL HIGHLIGHTS*</w:t>
      </w:r>
    </w:p>
    <w:p>
      <w:pPr>
        <w:spacing w:after="0" w:line="50" w:lineRule="exact"/>
        <w:rPr>
          <w:sz w:val="20"/>
          <w:szCs w:val="20"/>
          <w:color w:val="auto"/>
        </w:rPr>
      </w:pPr>
    </w:p>
    <w:p>
      <w:pPr>
        <w:ind w:left="2640" w:hanging="327"/>
        <w:spacing w:after="0"/>
        <w:tabs>
          <w:tab w:leader="none" w:pos="2640" w:val="left"/>
        </w:tabs>
        <w:numPr>
          <w:ilvl w:val="0"/>
          <w:numId w:val="6"/>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$20.3 Billion in Revenue </w:t>
      </w:r>
      <w:r>
        <w:rPr>
          <w:rFonts w:ascii="Arial" w:cs="Arial" w:eastAsia="Arial" w:hAnsi="Arial"/>
          <w:sz w:val="18"/>
          <w:szCs w:val="18"/>
          <w:color w:val="202124"/>
        </w:rPr>
        <w:t>and</w:t>
      </w:r>
      <w:r>
        <w:rPr>
          <w:rFonts w:ascii="Arial" w:cs="Arial" w:eastAsia="Arial" w:hAnsi="Arial"/>
          <w:sz w:val="18"/>
          <w:szCs w:val="18"/>
          <w:b w:val="1"/>
          <w:bCs w:val="1"/>
          <w:color w:val="202124"/>
        </w:rPr>
        <w:t xml:space="preserve"> $152.55 Diluted Earnings per Share</w:t>
      </w:r>
    </w:p>
    <w:p>
      <w:pPr>
        <w:spacing w:after="0" w:line="62" w:lineRule="exact"/>
        <w:rPr>
          <w:rFonts w:ascii="Times New Roman" w:cs="Times New Roman" w:eastAsia="Times New Roman" w:hAnsi="Times New Roman"/>
          <w:sz w:val="18"/>
          <w:szCs w:val="18"/>
          <w:color w:val="F37F00"/>
        </w:rPr>
      </w:pPr>
    </w:p>
    <w:p>
      <w:pPr>
        <w:ind w:left="2640" w:hanging="327"/>
        <w:spacing w:after="0"/>
        <w:tabs>
          <w:tab w:leader="none" w:pos="2640" w:val="left"/>
        </w:tabs>
        <w:numPr>
          <w:ilvl w:val="0"/>
          <w:numId w:val="6"/>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Completed </w:t>
      </w:r>
      <w:r>
        <w:rPr>
          <w:rFonts w:ascii="Arial" w:cs="Arial" w:eastAsia="Arial" w:hAnsi="Arial"/>
          <w:sz w:val="18"/>
          <w:szCs w:val="18"/>
          <w:b w:val="1"/>
          <w:bCs w:val="1"/>
          <w:color w:val="202124"/>
        </w:rPr>
        <w:t>$2.0 billion in Share Repurchases</w:t>
      </w:r>
    </w:p>
    <w:p>
      <w:pPr>
        <w:spacing w:after="0" w:line="75" w:lineRule="exact"/>
        <w:rPr>
          <w:rFonts w:ascii="Times New Roman" w:cs="Times New Roman" w:eastAsia="Times New Roman" w:hAnsi="Times New Roman"/>
          <w:sz w:val="18"/>
          <w:szCs w:val="18"/>
          <w:color w:val="F37F00"/>
        </w:rPr>
      </w:pPr>
    </w:p>
    <w:p>
      <w:pPr>
        <w:ind w:left="2640" w:hanging="327"/>
        <w:spacing w:after="0"/>
        <w:tabs>
          <w:tab w:leader="none" w:pos="2640" w:val="left"/>
        </w:tabs>
        <w:numPr>
          <w:ilvl w:val="0"/>
          <w:numId w:val="6"/>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Average of </w:t>
      </w:r>
      <w:r>
        <w:rPr>
          <w:rFonts w:ascii="Arial" w:cs="Arial" w:eastAsia="Arial" w:hAnsi="Arial"/>
          <w:sz w:val="18"/>
          <w:szCs w:val="18"/>
          <w:b w:val="1"/>
          <w:bCs w:val="1"/>
          <w:color w:val="202124"/>
        </w:rPr>
        <w:t>20.3% Total Shareholder Return (TSR)</w:t>
      </w:r>
      <w:r>
        <w:rPr>
          <w:rFonts w:ascii="Arial" w:cs="Arial" w:eastAsia="Arial" w:hAnsi="Arial"/>
          <w:sz w:val="18"/>
          <w:szCs w:val="18"/>
          <w:color w:val="202124"/>
        </w:rPr>
        <w:t xml:space="preserve"> for past 20 years</w:t>
      </w:r>
    </w:p>
    <w:p>
      <w:pPr>
        <w:spacing w:after="0" w:line="62" w:lineRule="exact"/>
        <w:rPr>
          <w:rFonts w:ascii="Times New Roman" w:cs="Times New Roman" w:eastAsia="Times New Roman" w:hAnsi="Times New Roman"/>
          <w:sz w:val="18"/>
          <w:szCs w:val="18"/>
          <w:color w:val="F37F00"/>
        </w:rPr>
      </w:pPr>
    </w:p>
    <w:p>
      <w:pPr>
        <w:ind w:left="2640" w:hanging="327"/>
        <w:spacing w:after="0"/>
        <w:tabs>
          <w:tab w:leader="none" w:pos="2640" w:val="left"/>
        </w:tabs>
        <w:numPr>
          <w:ilvl w:val="0"/>
          <w:numId w:val="6"/>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8,031 Stores Globally</w:t>
      </w:r>
      <w:r>
        <w:rPr>
          <w:rFonts w:ascii="Arial" w:cs="Arial" w:eastAsia="Arial" w:hAnsi="Arial"/>
          <w:sz w:val="18"/>
          <w:szCs w:val="18"/>
          <w:color w:val="202124"/>
        </w:rPr>
        <w:t>, including 6,863 in the U.S., 1,001 in Mexico and 167 in Brazil</w:t>
      </w:r>
    </w:p>
    <w:p>
      <w:pPr>
        <w:spacing w:after="0" w:line="62" w:lineRule="exact"/>
        <w:rPr>
          <w:rFonts w:ascii="Times New Roman" w:cs="Times New Roman" w:eastAsia="Times New Roman" w:hAnsi="Times New Roman"/>
          <w:sz w:val="18"/>
          <w:szCs w:val="18"/>
          <w:color w:val="F37F00"/>
        </w:rPr>
      </w:pPr>
    </w:p>
    <w:p>
      <w:pPr>
        <w:ind w:left="2640" w:hanging="327"/>
        <w:spacing w:after="0"/>
        <w:tabs>
          <w:tab w:leader="none" w:pos="2640" w:val="left"/>
        </w:tabs>
        <w:numPr>
          <w:ilvl w:val="0"/>
          <w:numId w:val="6"/>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6,443 Commercial Programs </w:t>
      </w:r>
      <w:r>
        <w:rPr>
          <w:rFonts w:ascii="Arial" w:cs="Arial" w:eastAsia="Arial" w:hAnsi="Arial"/>
          <w:sz w:val="18"/>
          <w:szCs w:val="18"/>
          <w:color w:val="202124"/>
        </w:rPr>
        <w:t>in the U.S.</w:t>
      </w:r>
    </w:p>
    <w:p>
      <w:pPr>
        <w:spacing w:after="0" w:line="89" w:lineRule="exact"/>
        <w:rPr>
          <w:sz w:val="20"/>
          <w:szCs w:val="20"/>
          <w:color w:val="auto"/>
        </w:rPr>
      </w:pPr>
    </w:p>
    <w:p>
      <w:pPr>
        <w:ind w:left="2320" w:right="380"/>
        <w:spacing w:after="0" w:line="271" w:lineRule="auto"/>
        <w:rPr>
          <w:sz w:val="20"/>
          <w:szCs w:val="20"/>
          <w:color w:val="auto"/>
        </w:rPr>
      </w:pPr>
      <w:r>
        <w:rPr>
          <w:rFonts w:ascii="Arial" w:cs="Arial" w:eastAsia="Arial" w:hAnsi="Arial"/>
          <w:sz w:val="18"/>
          <w:szCs w:val="18"/>
          <w:color w:val="F37F00"/>
        </w:rPr>
        <w:t xml:space="preserve">For more information, see: </w:t>
      </w:r>
      <w:r>
        <w:rPr>
          <w:rFonts w:ascii="Arial" w:cs="Arial" w:eastAsia="Arial" w:hAnsi="Arial"/>
          <w:sz w:val="18"/>
          <w:szCs w:val="18"/>
          <w:color w:val="202124"/>
        </w:rPr>
        <w:t>AutoZone’s Form 10-K for the fiscal year ended August 29, 2026 (the</w:t>
      </w:r>
      <w:r>
        <w:rPr>
          <w:rFonts w:ascii="Arial" w:cs="Arial" w:eastAsia="Arial" w:hAnsi="Arial"/>
          <w:sz w:val="18"/>
          <w:szCs w:val="18"/>
          <w:color w:val="F37F00"/>
        </w:rPr>
        <w:t xml:space="preserve"> </w:t>
      </w:r>
      <w:r>
        <w:rPr>
          <w:rFonts w:ascii="Arial" w:cs="Arial" w:eastAsia="Arial" w:hAnsi="Arial"/>
          <w:sz w:val="18"/>
          <w:szCs w:val="18"/>
          <w:color w:val="202124"/>
        </w:rPr>
        <w:t>“FY26 Form 10-K”) filed with the Securities and Exchange Commission (“SEC”).</w:t>
      </w:r>
    </w:p>
    <w:p>
      <w:pPr>
        <w:spacing w:after="0" w:line="19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37F00"/>
        </w:rPr>
        <w:t>CORPORATE GOVERNANCE</w:t>
      </w:r>
    </w:p>
    <w:p>
      <w:pPr>
        <w:spacing w:after="0" w:line="50" w:lineRule="exact"/>
        <w:rPr>
          <w:sz w:val="20"/>
          <w:szCs w:val="20"/>
          <w:color w:val="auto"/>
        </w:rPr>
      </w:pPr>
    </w:p>
    <w:p>
      <w:pPr>
        <w:ind w:left="2620" w:hanging="307"/>
        <w:spacing w:after="0"/>
        <w:tabs>
          <w:tab w:leader="none" w:pos="2620" w:val="left"/>
        </w:tabs>
        <w:numPr>
          <w:ilvl w:val="0"/>
          <w:numId w:val="7"/>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Board Leadership </w:t>
      </w:r>
      <w:r>
        <w:rPr>
          <w:rFonts w:ascii="Arial" w:cs="Arial" w:eastAsia="Arial" w:hAnsi="Arial"/>
          <w:sz w:val="18"/>
          <w:szCs w:val="18"/>
          <w:color w:val="202124"/>
        </w:rPr>
        <w:t>consists of Chairman and Lead Independent Director</w:t>
      </w:r>
    </w:p>
    <w:p>
      <w:pPr>
        <w:spacing w:after="0" w:line="62" w:lineRule="exact"/>
        <w:rPr>
          <w:rFonts w:ascii="Times New Roman" w:cs="Times New Roman" w:eastAsia="Times New Roman" w:hAnsi="Times New Roman"/>
          <w:sz w:val="18"/>
          <w:szCs w:val="18"/>
          <w:color w:val="F37F00"/>
        </w:rPr>
      </w:pPr>
    </w:p>
    <w:p>
      <w:pPr>
        <w:ind w:left="2620" w:right="600" w:hanging="307"/>
        <w:spacing w:after="0" w:line="252" w:lineRule="auto"/>
        <w:tabs>
          <w:tab w:leader="none" w:pos="2620" w:val="left"/>
        </w:tabs>
        <w:numPr>
          <w:ilvl w:val="0"/>
          <w:numId w:val="7"/>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Intentional Board refreshment and succession planning </w:t>
      </w:r>
      <w:r>
        <w:rPr>
          <w:rFonts w:ascii="Arial" w:cs="Arial" w:eastAsia="Arial" w:hAnsi="Arial"/>
          <w:sz w:val="18"/>
          <w:szCs w:val="18"/>
          <w:color w:val="202124"/>
        </w:rPr>
        <w:t>has continued to identify new</w:t>
      </w:r>
      <w:r>
        <w:rPr>
          <w:rFonts w:ascii="Arial" w:cs="Arial" w:eastAsia="Arial" w:hAnsi="Arial"/>
          <w:sz w:val="18"/>
          <w:szCs w:val="18"/>
          <w:b w:val="1"/>
          <w:bCs w:val="1"/>
          <w:color w:val="202124"/>
        </w:rPr>
        <w:t xml:space="preserve"> </w:t>
      </w:r>
      <w:r>
        <w:rPr>
          <w:rFonts w:ascii="Arial" w:cs="Arial" w:eastAsia="Arial" w:hAnsi="Arial"/>
          <w:sz w:val="18"/>
          <w:szCs w:val="18"/>
          <w:color w:val="202124"/>
        </w:rPr>
        <w:t>independent directors to further enhance the Board’s diverse skillset, including two new directors in 2025; we remain focused on disciplined refreshment and recruitment</w:t>
      </w:r>
    </w:p>
    <w:p>
      <w:pPr>
        <w:spacing w:after="0" w:line="22" w:lineRule="exact"/>
        <w:rPr>
          <w:rFonts w:ascii="Times New Roman" w:cs="Times New Roman" w:eastAsia="Times New Roman" w:hAnsi="Times New Roman"/>
          <w:sz w:val="18"/>
          <w:szCs w:val="18"/>
          <w:color w:val="F37F00"/>
        </w:rPr>
      </w:pPr>
    </w:p>
    <w:p>
      <w:pPr>
        <w:ind w:left="2620" w:right="680" w:hanging="307"/>
        <w:spacing w:after="0" w:line="255" w:lineRule="auto"/>
        <w:tabs>
          <w:tab w:leader="none" w:pos="2620" w:val="left"/>
        </w:tabs>
        <w:numPr>
          <w:ilvl w:val="0"/>
          <w:numId w:val="7"/>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Disciplined CEO succession planning </w:t>
      </w:r>
      <w:r>
        <w:rPr>
          <w:rFonts w:ascii="Arial" w:cs="Arial" w:eastAsia="Arial" w:hAnsi="Arial"/>
          <w:sz w:val="18"/>
          <w:szCs w:val="18"/>
          <w:color w:val="202124"/>
        </w:rPr>
        <w:t>resulted in successful transition to leadership of</w:t>
      </w:r>
      <w:r>
        <w:rPr>
          <w:rFonts w:ascii="Arial" w:cs="Arial" w:eastAsia="Arial" w:hAnsi="Arial"/>
          <w:sz w:val="18"/>
          <w:szCs w:val="18"/>
          <w:b w:val="1"/>
          <w:bCs w:val="1"/>
          <w:color w:val="202124"/>
        </w:rPr>
        <w:t xml:space="preserve"> </w:t>
      </w:r>
      <w:r>
        <w:rPr>
          <w:rFonts w:ascii="Arial" w:cs="Arial" w:eastAsia="Arial" w:hAnsi="Arial"/>
          <w:sz w:val="18"/>
          <w:szCs w:val="18"/>
          <w:color w:val="202124"/>
        </w:rPr>
        <w:t>new President and Chief Executive Officer in fiscal year 2024 (“FY24”)</w:t>
      </w:r>
    </w:p>
    <w:p>
      <w:pPr>
        <w:spacing w:after="0" w:line="18" w:lineRule="exact"/>
        <w:rPr>
          <w:rFonts w:ascii="Times New Roman" w:cs="Times New Roman" w:eastAsia="Times New Roman" w:hAnsi="Times New Roman"/>
          <w:sz w:val="18"/>
          <w:szCs w:val="18"/>
          <w:color w:val="F37F00"/>
        </w:rPr>
      </w:pPr>
    </w:p>
    <w:p>
      <w:pPr>
        <w:ind w:left="2620" w:right="520" w:hanging="307"/>
        <w:spacing w:after="0" w:line="265" w:lineRule="auto"/>
        <w:tabs>
          <w:tab w:leader="none" w:pos="2620" w:val="left"/>
        </w:tabs>
        <w:numPr>
          <w:ilvl w:val="0"/>
          <w:numId w:val="7"/>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Audit, Compensation and Nominating &amp; Corporate Governance Committees (the “Standing Committees”) made up entirely of </w:t>
      </w:r>
      <w:r>
        <w:rPr>
          <w:rFonts w:ascii="Arial" w:cs="Arial" w:eastAsia="Arial" w:hAnsi="Arial"/>
          <w:sz w:val="18"/>
          <w:szCs w:val="18"/>
          <w:b w:val="1"/>
          <w:bCs w:val="1"/>
          <w:color w:val="202124"/>
        </w:rPr>
        <w:t>Independent Directors</w:t>
      </w:r>
    </w:p>
    <w:p>
      <w:pPr>
        <w:spacing w:after="0" w:line="1" w:lineRule="exact"/>
        <w:rPr>
          <w:rFonts w:ascii="Times New Roman" w:cs="Times New Roman" w:eastAsia="Times New Roman" w:hAnsi="Times New Roman"/>
          <w:sz w:val="18"/>
          <w:szCs w:val="18"/>
          <w:color w:val="F37F00"/>
        </w:rPr>
      </w:pPr>
    </w:p>
    <w:p>
      <w:pPr>
        <w:ind w:left="2620" w:hanging="307"/>
        <w:spacing w:after="0"/>
        <w:tabs>
          <w:tab w:leader="none" w:pos="2620" w:val="left"/>
        </w:tabs>
        <w:numPr>
          <w:ilvl w:val="0"/>
          <w:numId w:val="7"/>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Use of </w:t>
      </w:r>
      <w:r>
        <w:rPr>
          <w:rFonts w:ascii="Arial" w:cs="Arial" w:eastAsia="Arial" w:hAnsi="Arial"/>
          <w:sz w:val="18"/>
          <w:szCs w:val="18"/>
          <w:b w:val="1"/>
          <w:bCs w:val="1"/>
          <w:color w:val="202124"/>
        </w:rPr>
        <w:t>Third-Party Firm</w:t>
      </w:r>
      <w:r>
        <w:rPr>
          <w:rFonts w:ascii="Arial" w:cs="Arial" w:eastAsia="Arial" w:hAnsi="Arial"/>
          <w:sz w:val="18"/>
          <w:szCs w:val="18"/>
          <w:color w:val="202124"/>
        </w:rPr>
        <w:t xml:space="preserve"> for 2021 and 2024 </w:t>
      </w:r>
      <w:r>
        <w:rPr>
          <w:rFonts w:ascii="Arial" w:cs="Arial" w:eastAsia="Arial" w:hAnsi="Arial"/>
          <w:sz w:val="18"/>
          <w:szCs w:val="18"/>
          <w:b w:val="1"/>
          <w:bCs w:val="1"/>
          <w:color w:val="202124"/>
        </w:rPr>
        <w:t>Board Evaluations</w:t>
      </w:r>
    </w:p>
    <w:p>
      <w:pPr>
        <w:spacing w:after="0" w:line="75" w:lineRule="exact"/>
        <w:rPr>
          <w:rFonts w:ascii="Times New Roman" w:cs="Times New Roman" w:eastAsia="Times New Roman" w:hAnsi="Times New Roman"/>
          <w:sz w:val="18"/>
          <w:szCs w:val="18"/>
          <w:color w:val="F37F00"/>
        </w:rPr>
      </w:pPr>
    </w:p>
    <w:p>
      <w:pPr>
        <w:ind w:left="2620" w:right="520" w:hanging="307"/>
        <w:spacing w:after="0" w:line="255" w:lineRule="auto"/>
        <w:tabs>
          <w:tab w:leader="none" w:pos="2620" w:val="left"/>
        </w:tabs>
        <w:numPr>
          <w:ilvl w:val="0"/>
          <w:numId w:val="7"/>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Review and update of </w:t>
      </w:r>
      <w:r>
        <w:rPr>
          <w:rFonts w:ascii="Arial" w:cs="Arial" w:eastAsia="Arial" w:hAnsi="Arial"/>
          <w:sz w:val="18"/>
          <w:szCs w:val="18"/>
          <w:b w:val="1"/>
          <w:bCs w:val="1"/>
          <w:color w:val="202124"/>
        </w:rPr>
        <w:t>Policy on Political Contributions and Lobbying Engagements</w:t>
      </w:r>
      <w:r>
        <w:rPr>
          <w:rFonts w:ascii="Arial" w:cs="Arial" w:eastAsia="Arial" w:hAnsi="Arial"/>
          <w:sz w:val="18"/>
          <w:szCs w:val="18"/>
          <w:color w:val="202124"/>
        </w:rPr>
        <w:t xml:space="preserve"> in fiscal year 2025 (“FY25”)</w:t>
      </w:r>
    </w:p>
    <w:p>
      <w:pPr>
        <w:spacing w:after="0" w:line="32" w:lineRule="exact"/>
        <w:rPr>
          <w:sz w:val="20"/>
          <w:szCs w:val="20"/>
          <w:color w:val="auto"/>
        </w:rPr>
      </w:pPr>
    </w:p>
    <w:p>
      <w:pPr>
        <w:ind w:left="2320"/>
        <w:spacing w:after="0"/>
        <w:rPr>
          <w:sz w:val="20"/>
          <w:szCs w:val="20"/>
          <w:color w:val="auto"/>
        </w:rPr>
      </w:pPr>
      <w:r>
        <w:rPr>
          <w:rFonts w:ascii="Arial" w:cs="Arial" w:eastAsia="Arial" w:hAnsi="Arial"/>
          <w:sz w:val="18"/>
          <w:szCs w:val="18"/>
          <w:color w:val="F37F00"/>
        </w:rPr>
        <w:t xml:space="preserve">For more information, see: </w:t>
      </w:r>
      <w:r>
        <w:rPr>
          <w:rFonts w:ascii="Arial" w:cs="Arial" w:eastAsia="Arial" w:hAnsi="Arial"/>
          <w:sz w:val="18"/>
          <w:szCs w:val="18"/>
          <w:color w:val="202124"/>
        </w:rPr>
        <w:t>Corporate Governance beginning on page 7.</w:t>
      </w:r>
    </w:p>
    <w:p>
      <w:pPr>
        <w:spacing w:after="0" w:line="25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37F00"/>
        </w:rPr>
        <w:t>EXECUTIVE COMPENSATION</w:t>
      </w:r>
    </w:p>
    <w:p>
      <w:pPr>
        <w:spacing w:after="0" w:line="50" w:lineRule="exact"/>
        <w:rPr>
          <w:sz w:val="20"/>
          <w:szCs w:val="20"/>
          <w:color w:val="auto"/>
        </w:rPr>
      </w:pPr>
    </w:p>
    <w:p>
      <w:pPr>
        <w:ind w:left="2620" w:hanging="307"/>
        <w:spacing w:after="0"/>
        <w:tabs>
          <w:tab w:leader="none" w:pos="2620" w:val="left"/>
        </w:tabs>
        <w:numPr>
          <w:ilvl w:val="0"/>
          <w:numId w:val="8"/>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Significant portion of executive’s compensation is </w:t>
      </w:r>
      <w:r>
        <w:rPr>
          <w:rFonts w:ascii="Arial" w:cs="Arial" w:eastAsia="Arial" w:hAnsi="Arial"/>
          <w:sz w:val="18"/>
          <w:szCs w:val="18"/>
          <w:b w:val="1"/>
          <w:bCs w:val="1"/>
          <w:color w:val="202124"/>
        </w:rPr>
        <w:t>variable or at-risk</w:t>
      </w:r>
    </w:p>
    <w:p>
      <w:pPr>
        <w:spacing w:after="0" w:line="62" w:lineRule="exact"/>
        <w:rPr>
          <w:rFonts w:ascii="Times New Roman" w:cs="Times New Roman" w:eastAsia="Times New Roman" w:hAnsi="Times New Roman"/>
          <w:sz w:val="18"/>
          <w:szCs w:val="18"/>
          <w:color w:val="F37F00"/>
        </w:rPr>
      </w:pPr>
    </w:p>
    <w:p>
      <w:pPr>
        <w:ind w:left="2620" w:right="400" w:hanging="307"/>
        <w:spacing w:after="0" w:line="270" w:lineRule="auto"/>
        <w:tabs>
          <w:tab w:leader="none" w:pos="2620" w:val="left"/>
        </w:tabs>
        <w:numPr>
          <w:ilvl w:val="0"/>
          <w:numId w:val="8"/>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Annual Incentive Plan tied to </w:t>
      </w:r>
      <w:r>
        <w:rPr>
          <w:rFonts w:ascii="Arial" w:cs="Arial" w:eastAsia="Arial" w:hAnsi="Arial"/>
          <w:sz w:val="18"/>
          <w:szCs w:val="18"/>
          <w:b w:val="1"/>
          <w:bCs w:val="1"/>
          <w:color w:val="202124"/>
        </w:rPr>
        <w:t>economic profit</w:t>
      </w:r>
      <w:r>
        <w:rPr>
          <w:rFonts w:ascii="Arial" w:cs="Arial" w:eastAsia="Arial" w:hAnsi="Arial"/>
          <w:sz w:val="18"/>
          <w:szCs w:val="18"/>
          <w:color w:val="202124"/>
        </w:rPr>
        <w:t>, as a function of Earnings Before Interest and Taxes (“EBIT”) and Return on Invested Capital (“ROIC”)</w:t>
      </w:r>
    </w:p>
    <w:p>
      <w:pPr>
        <w:spacing w:after="0" w:line="5" w:lineRule="exact"/>
        <w:rPr>
          <w:rFonts w:ascii="Times New Roman" w:cs="Times New Roman" w:eastAsia="Times New Roman" w:hAnsi="Times New Roman"/>
          <w:sz w:val="18"/>
          <w:szCs w:val="18"/>
          <w:color w:val="F37F00"/>
        </w:rPr>
      </w:pPr>
    </w:p>
    <w:p>
      <w:pPr>
        <w:ind w:left="2620" w:right="780" w:hanging="307"/>
        <w:spacing w:after="0" w:line="255" w:lineRule="auto"/>
        <w:tabs>
          <w:tab w:leader="none" w:pos="2620" w:val="left"/>
        </w:tabs>
        <w:numPr>
          <w:ilvl w:val="0"/>
          <w:numId w:val="8"/>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Say-On-Pay Vote </w:t>
      </w:r>
      <w:r>
        <w:rPr>
          <w:rFonts w:ascii="Arial" w:cs="Arial" w:eastAsia="Arial" w:hAnsi="Arial"/>
          <w:sz w:val="18"/>
          <w:szCs w:val="18"/>
          <w:color w:val="202124"/>
        </w:rPr>
        <w:t>received support from over 90% of the votes cast at our 2025 Annual</w:t>
      </w:r>
      <w:r>
        <w:rPr>
          <w:rFonts w:ascii="Arial" w:cs="Arial" w:eastAsia="Arial" w:hAnsi="Arial"/>
          <w:sz w:val="18"/>
          <w:szCs w:val="18"/>
          <w:b w:val="1"/>
          <w:bCs w:val="1"/>
          <w:color w:val="202124"/>
        </w:rPr>
        <w:t xml:space="preserve"> </w:t>
      </w:r>
      <w:r>
        <w:rPr>
          <w:rFonts w:ascii="Arial" w:cs="Arial" w:eastAsia="Arial" w:hAnsi="Arial"/>
          <w:sz w:val="18"/>
          <w:szCs w:val="18"/>
          <w:color w:val="202124"/>
        </w:rPr>
        <w:t>Meeting</w:t>
      </w:r>
    </w:p>
    <w:p>
      <w:pPr>
        <w:spacing w:after="0" w:line="18" w:lineRule="exact"/>
        <w:rPr>
          <w:rFonts w:ascii="Times New Roman" w:cs="Times New Roman" w:eastAsia="Times New Roman" w:hAnsi="Times New Roman"/>
          <w:sz w:val="18"/>
          <w:szCs w:val="18"/>
          <w:color w:val="F37F00"/>
        </w:rPr>
      </w:pPr>
    </w:p>
    <w:p>
      <w:pPr>
        <w:ind w:left="2620" w:right="560" w:hanging="307"/>
        <w:spacing w:after="0" w:line="265" w:lineRule="auto"/>
        <w:tabs>
          <w:tab w:leader="none" w:pos="2620" w:val="left"/>
        </w:tabs>
        <w:numPr>
          <w:ilvl w:val="0"/>
          <w:numId w:val="8"/>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Compensation plans and practices reviewed to ensure they </w:t>
      </w:r>
      <w:r>
        <w:rPr>
          <w:rFonts w:ascii="Arial" w:cs="Arial" w:eastAsia="Arial" w:hAnsi="Arial"/>
          <w:sz w:val="18"/>
          <w:szCs w:val="18"/>
          <w:b w:val="1"/>
          <w:bCs w:val="1"/>
          <w:color w:val="202124"/>
        </w:rPr>
        <w:t>do not encourage excessive</w:t>
      </w:r>
      <w:r>
        <w:rPr>
          <w:rFonts w:ascii="Arial" w:cs="Arial" w:eastAsia="Arial" w:hAnsi="Arial"/>
          <w:sz w:val="18"/>
          <w:szCs w:val="18"/>
          <w:color w:val="202124"/>
        </w:rPr>
        <w:t xml:space="preserve"> </w:t>
      </w:r>
      <w:r>
        <w:rPr>
          <w:rFonts w:ascii="Arial" w:cs="Arial" w:eastAsia="Arial" w:hAnsi="Arial"/>
          <w:sz w:val="18"/>
          <w:szCs w:val="18"/>
          <w:b w:val="1"/>
          <w:bCs w:val="1"/>
          <w:color w:val="202124"/>
        </w:rPr>
        <w:t>risk-taking</w:t>
      </w:r>
    </w:p>
    <w:p>
      <w:pPr>
        <w:spacing w:after="0" w:line="1" w:lineRule="exact"/>
        <w:rPr>
          <w:rFonts w:ascii="Times New Roman" w:cs="Times New Roman" w:eastAsia="Times New Roman" w:hAnsi="Times New Roman"/>
          <w:sz w:val="18"/>
          <w:szCs w:val="18"/>
          <w:color w:val="F37F00"/>
        </w:rPr>
      </w:pPr>
    </w:p>
    <w:p>
      <w:pPr>
        <w:ind w:left="2620" w:hanging="307"/>
        <w:spacing w:after="0"/>
        <w:tabs>
          <w:tab w:leader="none" w:pos="2620" w:val="left"/>
        </w:tabs>
        <w:numPr>
          <w:ilvl w:val="0"/>
          <w:numId w:val="8"/>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Stock Ownership Guidelines </w:t>
      </w:r>
      <w:r>
        <w:rPr>
          <w:rFonts w:ascii="Arial" w:cs="Arial" w:eastAsia="Arial" w:hAnsi="Arial"/>
          <w:sz w:val="18"/>
          <w:szCs w:val="18"/>
          <w:color w:val="202124"/>
        </w:rPr>
        <w:t>aligned to compensation strategy</w:t>
      </w:r>
    </w:p>
    <w:p>
      <w:pPr>
        <w:spacing w:after="0" w:line="89" w:lineRule="exact"/>
        <w:rPr>
          <w:sz w:val="20"/>
          <w:szCs w:val="20"/>
          <w:color w:val="auto"/>
        </w:rPr>
      </w:pPr>
    </w:p>
    <w:p>
      <w:pPr>
        <w:ind w:left="2320"/>
        <w:spacing w:after="0"/>
        <w:rPr>
          <w:sz w:val="20"/>
          <w:szCs w:val="20"/>
          <w:color w:val="auto"/>
        </w:rPr>
      </w:pPr>
      <w:r>
        <w:rPr>
          <w:rFonts w:ascii="Arial" w:cs="Arial" w:eastAsia="Arial" w:hAnsi="Arial"/>
          <w:sz w:val="18"/>
          <w:szCs w:val="18"/>
          <w:color w:val="F37F00"/>
        </w:rPr>
        <w:t xml:space="preserve">For more information, see: </w:t>
      </w:r>
      <w:r>
        <w:rPr>
          <w:rFonts w:ascii="Arial" w:cs="Arial" w:eastAsia="Arial" w:hAnsi="Arial"/>
          <w:sz w:val="18"/>
          <w:szCs w:val="18"/>
          <w:color w:val="202124"/>
        </w:rPr>
        <w:t>Compensation, Discussion &amp; Analysis beginning on page 40.</w:t>
      </w:r>
    </w:p>
    <w:p>
      <w:pPr>
        <w:spacing w:after="0" w:line="23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37F00"/>
        </w:rPr>
        <w:t>SHAREHOLDER ENGAGEMENT</w:t>
      </w:r>
    </w:p>
    <w:p>
      <w:pPr>
        <w:spacing w:after="0" w:line="50" w:lineRule="exact"/>
        <w:rPr>
          <w:sz w:val="20"/>
          <w:szCs w:val="20"/>
          <w:color w:val="auto"/>
        </w:rPr>
      </w:pPr>
    </w:p>
    <w:p>
      <w:pPr>
        <w:ind w:left="2620" w:right="680" w:hanging="307"/>
        <w:spacing w:after="0" w:line="281" w:lineRule="auto"/>
        <w:tabs>
          <w:tab w:leader="none" w:pos="2620" w:val="left"/>
        </w:tabs>
        <w:numPr>
          <w:ilvl w:val="0"/>
          <w:numId w:val="9"/>
        </w:numPr>
        <w:rPr>
          <w:rFonts w:ascii="Times New Roman" w:cs="Times New Roman" w:eastAsia="Times New Roman" w:hAnsi="Times New Roman"/>
          <w:sz w:val="17"/>
          <w:szCs w:val="17"/>
          <w:color w:val="F37F00"/>
        </w:rPr>
      </w:pPr>
      <w:r>
        <w:rPr>
          <w:rFonts w:ascii="Arial" w:cs="Arial" w:eastAsia="Arial" w:hAnsi="Arial"/>
          <w:sz w:val="17"/>
          <w:szCs w:val="17"/>
          <w:color w:val="202124"/>
        </w:rPr>
        <w:t xml:space="preserve">Conduct </w:t>
      </w:r>
      <w:r>
        <w:rPr>
          <w:rFonts w:ascii="Arial" w:cs="Arial" w:eastAsia="Arial" w:hAnsi="Arial"/>
          <w:sz w:val="17"/>
          <w:szCs w:val="17"/>
          <w:b w:val="1"/>
          <w:bCs w:val="1"/>
          <w:color w:val="202124"/>
        </w:rPr>
        <w:t>year-round outreach</w:t>
      </w:r>
      <w:r>
        <w:rPr>
          <w:rFonts w:ascii="Arial" w:cs="Arial" w:eastAsia="Arial" w:hAnsi="Arial"/>
          <w:sz w:val="17"/>
          <w:szCs w:val="17"/>
          <w:color w:val="202124"/>
        </w:rPr>
        <w:t xml:space="preserve"> through our Board leadership, senior management and investor relations team to understand shareholders’ perspectives, priorities and concerns</w:t>
      </w:r>
    </w:p>
    <w:p>
      <w:pPr>
        <w:ind w:left="2620" w:right="620" w:hanging="307"/>
        <w:spacing w:after="0" w:line="252" w:lineRule="auto"/>
        <w:tabs>
          <w:tab w:leader="none" w:pos="2620" w:val="left"/>
        </w:tabs>
        <w:numPr>
          <w:ilvl w:val="0"/>
          <w:numId w:val="9"/>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In FY26, </w:t>
      </w:r>
      <w:r>
        <w:rPr>
          <w:rFonts w:ascii="Arial" w:cs="Arial" w:eastAsia="Arial" w:hAnsi="Arial"/>
          <w:sz w:val="18"/>
          <w:szCs w:val="18"/>
          <w:b w:val="1"/>
          <w:bCs w:val="1"/>
          <w:color w:val="202124"/>
        </w:rPr>
        <w:t>invited investors representing approximately 70% of shares outstanding</w:t>
      </w:r>
      <w:r>
        <w:rPr>
          <w:rFonts w:ascii="Arial" w:cs="Arial" w:eastAsia="Arial" w:hAnsi="Arial"/>
          <w:sz w:val="18"/>
          <w:szCs w:val="18"/>
          <w:color w:val="202124"/>
        </w:rPr>
        <w:t xml:space="preserve"> to discuss key matters, including corporate governance, board composition and executive compensation.</w:t>
      </w:r>
    </w:p>
    <w:p>
      <w:pPr>
        <w:spacing w:after="0" w:line="36" w:lineRule="exact"/>
        <w:rPr>
          <w:sz w:val="20"/>
          <w:szCs w:val="20"/>
          <w:color w:val="auto"/>
        </w:rPr>
      </w:pPr>
    </w:p>
    <w:p>
      <w:pPr>
        <w:ind w:left="2320"/>
        <w:spacing w:after="0"/>
        <w:rPr>
          <w:sz w:val="20"/>
          <w:szCs w:val="20"/>
          <w:color w:val="auto"/>
        </w:rPr>
      </w:pPr>
      <w:r>
        <w:rPr>
          <w:rFonts w:ascii="Arial" w:cs="Arial" w:eastAsia="Arial" w:hAnsi="Arial"/>
          <w:sz w:val="18"/>
          <w:szCs w:val="18"/>
          <w:color w:val="F37F00"/>
        </w:rPr>
        <w:t xml:space="preserve">For more information, see: </w:t>
      </w:r>
      <w:r>
        <w:rPr>
          <w:rFonts w:ascii="Arial" w:cs="Arial" w:eastAsia="Arial" w:hAnsi="Arial"/>
          <w:sz w:val="18"/>
          <w:szCs w:val="18"/>
          <w:color w:val="202124"/>
        </w:rPr>
        <w:t>Shareholder Engagement on page 21.</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202124"/>
        </w:rPr>
        <w:t>* Information reflected as of, and for the fiscal year ended, August 29, 2026, as applicable</w:t>
      </w:r>
    </w:p>
    <w:p>
      <w:pPr>
        <w:spacing w:after="0" w:line="111" w:lineRule="exact"/>
        <w:rPr>
          <w:sz w:val="20"/>
          <w:szCs w:val="20"/>
          <w:color w:val="auto"/>
        </w:rPr>
      </w:pPr>
    </w:p>
    <w:p>
      <w:pPr>
        <w:ind w:left="640" w:right="20"/>
        <w:spacing w:after="0" w:line="251" w:lineRule="auto"/>
        <w:rPr>
          <w:sz w:val="20"/>
          <w:szCs w:val="20"/>
          <w:color w:val="auto"/>
        </w:rPr>
      </w:pPr>
      <w:r>
        <w:rPr>
          <w:rFonts w:ascii="Arial" w:cs="Arial" w:eastAsia="Arial" w:hAnsi="Arial"/>
          <w:sz w:val="16"/>
          <w:szCs w:val="16"/>
          <w:b w:val="1"/>
          <w:bCs w:val="1"/>
          <w:i w:val="1"/>
          <w:iCs w:val="1"/>
          <w:color w:val="202124"/>
        </w:rPr>
        <w:t xml:space="preserve">Disclaimer: </w:t>
      </w:r>
      <w:r>
        <w:rPr>
          <w:rFonts w:ascii="Arial" w:cs="Arial" w:eastAsia="Arial" w:hAnsi="Arial"/>
          <w:sz w:val="16"/>
          <w:szCs w:val="16"/>
          <w:color w:val="202124"/>
        </w:rPr>
        <w:t>The contents of any websites, reports or other materials are not incorporated by reference into this proxy statement and do</w:t>
      </w:r>
      <w:r>
        <w:rPr>
          <w:rFonts w:ascii="Arial" w:cs="Arial" w:eastAsia="Arial" w:hAnsi="Arial"/>
          <w:sz w:val="16"/>
          <w:szCs w:val="16"/>
          <w:b w:val="1"/>
          <w:bCs w:val="1"/>
          <w:i w:val="1"/>
          <w:iCs w:val="1"/>
          <w:color w:val="202124"/>
        </w:rPr>
        <w:t xml:space="preserve"> </w:t>
      </w:r>
      <w:r>
        <w:rPr>
          <w:rFonts w:ascii="Arial" w:cs="Arial" w:eastAsia="Arial" w:hAnsi="Arial"/>
          <w:sz w:val="16"/>
          <w:szCs w:val="16"/>
          <w:color w:val="202124"/>
        </w:rPr>
        <w:t>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    </w:t>
      </w:r>
      <w:r>
        <w:rPr>
          <w:sz w:val="1"/>
          <w:szCs w:val="1"/>
          <w:color w:val="auto"/>
        </w:rPr>
        <w:drawing>
          <wp:inline distT="0" distB="0" distL="0" distR="0">
            <wp:extent cx="11658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5" w:name="page6"/>
    <w:bookmarkEnd w:id="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37F00"/>
        </w:rPr>
        <w:t>CULTURE</w:t>
      </w:r>
    </w:p>
    <w:p>
      <w:pPr>
        <w:spacing w:after="0" w:line="104" w:lineRule="exact"/>
        <w:rPr>
          <w:sz w:val="20"/>
          <w:szCs w:val="20"/>
          <w:color w:val="auto"/>
        </w:rPr>
      </w:pPr>
    </w:p>
    <w:p>
      <w:pPr>
        <w:ind w:left="2660" w:right="560" w:hanging="333"/>
        <w:spacing w:after="0" w:line="249" w:lineRule="auto"/>
        <w:tabs>
          <w:tab w:leader="none" w:pos="2660" w:val="left"/>
        </w:tabs>
        <w:numPr>
          <w:ilvl w:val="0"/>
          <w:numId w:val="10"/>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Our </w:t>
      </w:r>
      <w:r>
        <w:rPr>
          <w:rFonts w:ascii="Arial" w:cs="Arial" w:eastAsia="Arial" w:hAnsi="Arial"/>
          <w:sz w:val="18"/>
          <w:szCs w:val="18"/>
          <w:b w:val="1"/>
          <w:bCs w:val="1"/>
          <w:color w:val="202124"/>
        </w:rPr>
        <w:t>Pledge and Values</w:t>
      </w:r>
      <w:r>
        <w:rPr>
          <w:rFonts w:ascii="Arial" w:cs="Arial" w:eastAsia="Arial" w:hAnsi="Arial"/>
          <w:sz w:val="18"/>
          <w:szCs w:val="18"/>
          <w:color w:val="202124"/>
        </w:rPr>
        <w:t xml:space="preserve"> foster a strong, unique and powerful culture of teamwork and customer service. Every AutoZoner, from the Board of Directors and CEO Team (Vice Presidents and above) to AutoZoners in our stores, distribution centers and Store Support Centers, strive to </w:t>
      </w:r>
      <w:r>
        <w:rPr>
          <w:rFonts w:ascii="Arial" w:cs="Arial" w:eastAsia="Arial" w:hAnsi="Arial"/>
          <w:sz w:val="18"/>
          <w:szCs w:val="18"/>
          <w:b w:val="1"/>
          <w:bCs w:val="1"/>
          <w:i w:val="1"/>
          <w:iCs w:val="1"/>
          <w:color w:val="202124"/>
        </w:rPr>
        <w:t>Live the Pledge</w:t>
      </w:r>
      <w:r>
        <w:rPr>
          <w:rFonts w:ascii="Arial" w:cs="Arial" w:eastAsia="Arial" w:hAnsi="Arial"/>
          <w:sz w:val="18"/>
          <w:szCs w:val="18"/>
          <w:color w:val="202124"/>
        </w:rPr>
        <w:t>.</w:t>
      </w:r>
    </w:p>
    <w:p>
      <w:pPr>
        <w:spacing w:after="0" w:line="4" w:lineRule="exact"/>
        <w:rPr>
          <w:rFonts w:ascii="Times New Roman" w:cs="Times New Roman" w:eastAsia="Times New Roman" w:hAnsi="Times New Roman"/>
          <w:sz w:val="18"/>
          <w:szCs w:val="18"/>
          <w:color w:val="F37F00"/>
        </w:rPr>
      </w:pPr>
    </w:p>
    <w:p>
      <w:pPr>
        <w:ind w:left="2640" w:right="400" w:hanging="313"/>
        <w:spacing w:after="0" w:line="246" w:lineRule="auto"/>
        <w:tabs>
          <w:tab w:leader="none" w:pos="2640" w:val="left"/>
        </w:tabs>
        <w:numPr>
          <w:ilvl w:val="0"/>
          <w:numId w:val="10"/>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Meetings at AutoZone begin with our </w:t>
      </w:r>
      <w:r>
        <w:rPr>
          <w:rFonts w:ascii="Arial" w:cs="Arial" w:eastAsia="Arial" w:hAnsi="Arial"/>
          <w:sz w:val="18"/>
          <w:szCs w:val="18"/>
          <w:b w:val="1"/>
          <w:bCs w:val="1"/>
          <w:color w:val="202124"/>
        </w:rPr>
        <w:t>Cheer and Pledge</w:t>
      </w:r>
      <w:r>
        <w:rPr>
          <w:rFonts w:ascii="Arial" w:cs="Arial" w:eastAsia="Arial" w:hAnsi="Arial"/>
          <w:sz w:val="18"/>
          <w:szCs w:val="18"/>
          <w:color w:val="202124"/>
        </w:rPr>
        <w:t xml:space="preserve">, to remind us of our commitment to customer satisfaction and our promise to put customers first, and an </w:t>
      </w:r>
      <w:r>
        <w:rPr>
          <w:rFonts w:ascii="Arial" w:cs="Arial" w:eastAsia="Arial" w:hAnsi="Arial"/>
          <w:sz w:val="18"/>
          <w:szCs w:val="18"/>
          <w:b w:val="1"/>
          <w:bCs w:val="1"/>
          <w:color w:val="202124"/>
        </w:rPr>
        <w:t>Extra Miler Story</w:t>
      </w:r>
      <w:r>
        <w:rPr>
          <w:rFonts w:ascii="Arial" w:cs="Arial" w:eastAsia="Arial" w:hAnsi="Arial"/>
          <w:sz w:val="18"/>
          <w:szCs w:val="18"/>
          <w:color w:val="202124"/>
        </w:rPr>
        <w:t>, to recognize fellow AutoZoners for living our Pledge and Values and taking care of our customers.</w:t>
      </w:r>
    </w:p>
    <w:p>
      <w:pPr>
        <w:spacing w:after="0" w:line="14" w:lineRule="exact"/>
        <w:rPr>
          <w:rFonts w:ascii="Times New Roman" w:cs="Times New Roman" w:eastAsia="Times New Roman" w:hAnsi="Times New Roman"/>
          <w:sz w:val="18"/>
          <w:szCs w:val="18"/>
          <w:color w:val="F37F00"/>
        </w:rPr>
      </w:pPr>
    </w:p>
    <w:p>
      <w:pPr>
        <w:ind w:left="2640" w:right="1140" w:hanging="313"/>
        <w:spacing w:after="0" w:line="310" w:lineRule="auto"/>
        <w:tabs>
          <w:tab w:leader="none" w:pos="2640" w:val="left"/>
        </w:tabs>
        <w:numPr>
          <w:ilvl w:val="0"/>
          <w:numId w:val="10"/>
        </w:numPr>
        <w:rPr>
          <w:rFonts w:ascii="Times New Roman" w:cs="Times New Roman" w:eastAsia="Times New Roman" w:hAnsi="Times New Roman"/>
          <w:sz w:val="17"/>
          <w:szCs w:val="17"/>
          <w:color w:val="F37F00"/>
        </w:rPr>
      </w:pPr>
      <w:r>
        <w:rPr>
          <w:rFonts w:ascii="Arial" w:cs="Arial" w:eastAsia="Arial" w:hAnsi="Arial"/>
          <w:sz w:val="17"/>
          <w:szCs w:val="17"/>
          <w:color w:val="202124"/>
        </w:rPr>
        <w:t xml:space="preserve">We believe our commitment to living the </w:t>
      </w:r>
      <w:r>
        <w:rPr>
          <w:rFonts w:ascii="Arial" w:cs="Arial" w:eastAsia="Arial" w:hAnsi="Arial"/>
          <w:sz w:val="17"/>
          <w:szCs w:val="17"/>
          <w:b w:val="1"/>
          <w:bCs w:val="1"/>
          <w:color w:val="202124"/>
        </w:rPr>
        <w:t>Pledge and Values</w:t>
      </w:r>
      <w:r>
        <w:rPr>
          <w:rFonts w:ascii="Arial" w:cs="Arial" w:eastAsia="Arial" w:hAnsi="Arial"/>
          <w:sz w:val="17"/>
          <w:szCs w:val="17"/>
          <w:color w:val="202124"/>
        </w:rPr>
        <w:t xml:space="preserve"> and strong </w:t>
      </w:r>
      <w:r>
        <w:rPr>
          <w:rFonts w:ascii="Arial" w:cs="Arial" w:eastAsia="Arial" w:hAnsi="Arial"/>
          <w:sz w:val="17"/>
          <w:szCs w:val="17"/>
          <w:b w:val="1"/>
          <w:bCs w:val="1"/>
          <w:color w:val="202124"/>
        </w:rPr>
        <w:t>culture of</w:t>
      </w:r>
      <w:r>
        <w:rPr>
          <w:rFonts w:ascii="Arial" w:cs="Arial" w:eastAsia="Arial" w:hAnsi="Arial"/>
          <w:sz w:val="17"/>
          <w:szCs w:val="17"/>
          <w:color w:val="202124"/>
        </w:rPr>
        <w:t xml:space="preserve"> </w:t>
      </w:r>
      <w:r>
        <w:rPr>
          <w:rFonts w:ascii="Arial" w:cs="Arial" w:eastAsia="Arial" w:hAnsi="Arial"/>
          <w:sz w:val="17"/>
          <w:szCs w:val="17"/>
          <w:b w:val="1"/>
          <w:bCs w:val="1"/>
          <w:color w:val="202124"/>
        </w:rPr>
        <w:t xml:space="preserve">recognition </w:t>
      </w:r>
      <w:r>
        <w:rPr>
          <w:rFonts w:ascii="Arial" w:cs="Arial" w:eastAsia="Arial" w:hAnsi="Arial"/>
          <w:sz w:val="17"/>
          <w:szCs w:val="17"/>
          <w:color w:val="202124"/>
        </w:rPr>
        <w:t>are what sets us apart from our competitors and drives our success</w:t>
      </w:r>
      <w:r>
        <w:rPr>
          <w:rFonts w:ascii="Arial" w:cs="Arial" w:eastAsia="Arial" w:hAnsi="Arial"/>
          <w:sz w:val="17"/>
          <w:szCs w:val="17"/>
          <w:color w:val="000000"/>
        </w:rPr>
        <w:t>.</w:t>
      </w:r>
    </w:p>
    <w:p>
      <w:pPr>
        <w:spacing w:after="0" w:line="200" w:lineRule="exact"/>
        <w:rPr>
          <w:sz w:val="20"/>
          <w:szCs w:val="20"/>
          <w:color w:val="auto"/>
        </w:rPr>
      </w:pPr>
    </w:p>
    <w:p>
      <w:pPr>
        <w:spacing w:after="0" w:line="26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37F00"/>
        </w:rPr>
        <w:t>HUMAN CAPITAL MANAGEMENT</w:t>
      </w:r>
    </w:p>
    <w:p>
      <w:pPr>
        <w:spacing w:after="0" w:line="104" w:lineRule="exact"/>
        <w:rPr>
          <w:sz w:val="20"/>
          <w:szCs w:val="20"/>
          <w:color w:val="auto"/>
        </w:rPr>
      </w:pPr>
    </w:p>
    <w:p>
      <w:pPr>
        <w:ind w:left="2640" w:hanging="313"/>
        <w:spacing w:after="0"/>
        <w:tabs>
          <w:tab w:leader="none" w:pos="2640" w:val="left"/>
        </w:tabs>
        <w:numPr>
          <w:ilvl w:val="0"/>
          <w:numId w:val="11"/>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Approximately </w:t>
      </w:r>
      <w:r>
        <w:rPr>
          <w:rFonts w:ascii="Arial" w:cs="Arial" w:eastAsia="Arial" w:hAnsi="Arial"/>
          <w:sz w:val="18"/>
          <w:szCs w:val="18"/>
          <w:b w:val="1"/>
          <w:bCs w:val="1"/>
          <w:color w:val="202124"/>
        </w:rPr>
        <w:t>132,000 AutoZoners</w:t>
      </w:r>
      <w:r>
        <w:rPr>
          <w:rFonts w:ascii="Arial" w:cs="Arial" w:eastAsia="Arial" w:hAnsi="Arial"/>
          <w:sz w:val="18"/>
          <w:szCs w:val="18"/>
          <w:color w:val="202124"/>
        </w:rPr>
        <w:t xml:space="preserve"> globally</w:t>
      </w:r>
    </w:p>
    <w:p>
      <w:pPr>
        <w:spacing w:after="0" w:line="62" w:lineRule="exact"/>
        <w:rPr>
          <w:rFonts w:ascii="Times New Roman" w:cs="Times New Roman" w:eastAsia="Times New Roman" w:hAnsi="Times New Roman"/>
          <w:sz w:val="18"/>
          <w:szCs w:val="18"/>
          <w:color w:val="F37F00"/>
        </w:rPr>
      </w:pPr>
    </w:p>
    <w:p>
      <w:pPr>
        <w:ind w:left="2640" w:right="540" w:hanging="313"/>
        <w:spacing w:after="0" w:line="265" w:lineRule="auto"/>
        <w:tabs>
          <w:tab w:leader="none" w:pos="2640" w:val="left"/>
        </w:tabs>
        <w:numPr>
          <w:ilvl w:val="0"/>
          <w:numId w:val="11"/>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Significant diversity </w:t>
      </w:r>
      <w:r>
        <w:rPr>
          <w:rFonts w:ascii="Arial" w:cs="Arial" w:eastAsia="Arial" w:hAnsi="Arial"/>
          <w:sz w:val="18"/>
          <w:szCs w:val="18"/>
          <w:color w:val="202124"/>
        </w:rPr>
        <w:t>of backgrounds, experiences and tenures represented on the</w:t>
      </w:r>
      <w:r>
        <w:rPr>
          <w:rFonts w:ascii="Arial" w:cs="Arial" w:eastAsia="Arial" w:hAnsi="Arial"/>
          <w:sz w:val="18"/>
          <w:szCs w:val="18"/>
          <w:b w:val="1"/>
          <w:bCs w:val="1"/>
          <w:color w:val="202124"/>
        </w:rPr>
        <w:t xml:space="preserve"> Board </w:t>
      </w:r>
      <w:r>
        <w:rPr>
          <w:rFonts w:ascii="Arial" w:cs="Arial" w:eastAsia="Arial" w:hAnsi="Arial"/>
          <w:sz w:val="18"/>
          <w:szCs w:val="18"/>
          <w:color w:val="202124"/>
        </w:rPr>
        <w:t xml:space="preserve">and </w:t>
      </w:r>
      <w:r>
        <w:rPr>
          <w:rFonts w:ascii="Arial" w:cs="Arial" w:eastAsia="Arial" w:hAnsi="Arial"/>
          <w:sz w:val="18"/>
          <w:szCs w:val="18"/>
          <w:b w:val="1"/>
          <w:bCs w:val="1"/>
          <w:color w:val="202124"/>
        </w:rPr>
        <w:t>Executive Committee.</w:t>
      </w:r>
    </w:p>
    <w:p>
      <w:pPr>
        <w:spacing w:after="0" w:line="1" w:lineRule="exact"/>
        <w:rPr>
          <w:rFonts w:ascii="Times New Roman" w:cs="Times New Roman" w:eastAsia="Times New Roman" w:hAnsi="Times New Roman"/>
          <w:sz w:val="18"/>
          <w:szCs w:val="18"/>
          <w:color w:val="F37F00"/>
        </w:rPr>
      </w:pPr>
    </w:p>
    <w:p>
      <w:pPr>
        <w:ind w:left="2640" w:right="620" w:hanging="313"/>
        <w:spacing w:after="0" w:line="252" w:lineRule="auto"/>
        <w:tabs>
          <w:tab w:leader="none" w:pos="2640" w:val="left"/>
        </w:tabs>
        <w:numPr>
          <w:ilvl w:val="0"/>
          <w:numId w:val="11"/>
        </w:numPr>
        <w:rPr>
          <w:rFonts w:ascii="Times New Roman" w:cs="Times New Roman" w:eastAsia="Times New Roman" w:hAnsi="Times New Roman"/>
          <w:sz w:val="18"/>
          <w:szCs w:val="18"/>
          <w:color w:val="F37F00"/>
        </w:rPr>
      </w:pPr>
      <w:r>
        <w:rPr>
          <w:rFonts w:ascii="Arial" w:cs="Arial" w:eastAsia="Arial" w:hAnsi="Arial"/>
          <w:sz w:val="18"/>
          <w:szCs w:val="18"/>
          <w:b w:val="1"/>
          <w:bCs w:val="1"/>
          <w:color w:val="202124"/>
        </w:rPr>
        <w:t xml:space="preserve">Align human capital management with strategy </w:t>
      </w:r>
      <w:r>
        <w:rPr>
          <w:rFonts w:ascii="Arial" w:cs="Arial" w:eastAsia="Arial" w:hAnsi="Arial"/>
          <w:sz w:val="18"/>
          <w:szCs w:val="18"/>
          <w:color w:val="202124"/>
        </w:rPr>
        <w:t>by focusing on succession planning,</w:t>
      </w:r>
      <w:r>
        <w:rPr>
          <w:rFonts w:ascii="Arial" w:cs="Arial" w:eastAsia="Arial" w:hAnsi="Arial"/>
          <w:sz w:val="18"/>
          <w:szCs w:val="18"/>
          <w:b w:val="1"/>
          <w:bCs w:val="1"/>
          <w:color w:val="202124"/>
        </w:rPr>
        <w:t xml:space="preserve"> </w:t>
      </w:r>
      <w:r>
        <w:rPr>
          <w:rFonts w:ascii="Arial" w:cs="Arial" w:eastAsia="Arial" w:hAnsi="Arial"/>
          <w:sz w:val="18"/>
          <w:szCs w:val="18"/>
          <w:color w:val="202124"/>
        </w:rPr>
        <w:t>investing in individual growth and development and aiming to have AutoZoners reflect the communities in which we work and serve.</w:t>
      </w:r>
    </w:p>
    <w:p>
      <w:pPr>
        <w:spacing w:after="0" w:line="8" w:lineRule="exact"/>
        <w:rPr>
          <w:rFonts w:ascii="Times New Roman" w:cs="Times New Roman" w:eastAsia="Times New Roman" w:hAnsi="Times New Roman"/>
          <w:sz w:val="18"/>
          <w:szCs w:val="18"/>
          <w:color w:val="F37F00"/>
        </w:rPr>
      </w:pPr>
    </w:p>
    <w:p>
      <w:pPr>
        <w:ind w:left="2640" w:hanging="313"/>
        <w:spacing w:after="0"/>
        <w:tabs>
          <w:tab w:leader="none" w:pos="2640" w:val="left"/>
        </w:tabs>
        <w:numPr>
          <w:ilvl w:val="0"/>
          <w:numId w:val="11"/>
        </w:numPr>
        <w:rPr>
          <w:rFonts w:ascii="Times New Roman" w:cs="Times New Roman" w:eastAsia="Times New Roman" w:hAnsi="Times New Roman"/>
          <w:sz w:val="18"/>
          <w:szCs w:val="18"/>
          <w:color w:val="F37F00"/>
        </w:rPr>
      </w:pPr>
      <w:r>
        <w:rPr>
          <w:rFonts w:ascii="Arial" w:cs="Arial" w:eastAsia="Arial" w:hAnsi="Arial"/>
          <w:sz w:val="18"/>
          <w:szCs w:val="18"/>
          <w:color w:val="202124"/>
        </w:rPr>
        <w:t xml:space="preserve">Published </w:t>
      </w:r>
      <w:r>
        <w:rPr>
          <w:rFonts w:ascii="Arial" w:cs="Arial" w:eastAsia="Arial" w:hAnsi="Arial"/>
          <w:sz w:val="18"/>
          <w:szCs w:val="18"/>
          <w:b w:val="1"/>
          <w:bCs w:val="1"/>
          <w:color w:val="202124"/>
        </w:rPr>
        <w:t>EEO-1 compliance disclosure</w:t>
      </w:r>
      <w:r>
        <w:rPr>
          <w:rFonts w:ascii="Arial" w:cs="Arial" w:eastAsia="Arial" w:hAnsi="Arial"/>
          <w:sz w:val="18"/>
          <w:szCs w:val="18"/>
          <w:color w:val="202124"/>
        </w:rPr>
        <w:t xml:space="preserve"> in Corporate Responsibility Report.</w:t>
      </w:r>
    </w:p>
    <w:p>
      <w:pPr>
        <w:spacing w:after="0" w:line="200" w:lineRule="exact"/>
        <w:rPr>
          <w:sz w:val="20"/>
          <w:szCs w:val="20"/>
          <w:color w:val="auto"/>
        </w:rPr>
      </w:pPr>
    </w:p>
    <w:p>
      <w:pPr>
        <w:spacing w:after="0" w:line="366" w:lineRule="exact"/>
        <w:rPr>
          <w:sz w:val="20"/>
          <w:szCs w:val="20"/>
          <w:color w:val="auto"/>
        </w:rPr>
      </w:pPr>
    </w:p>
    <w:p>
      <w:pPr>
        <w:ind w:left="640" w:right="60"/>
        <w:spacing w:after="0" w:line="219" w:lineRule="auto"/>
        <w:rPr>
          <w:sz w:val="20"/>
          <w:szCs w:val="20"/>
          <w:color w:val="auto"/>
        </w:rPr>
      </w:pPr>
      <w:r>
        <w:rPr>
          <w:rFonts w:ascii="Arial" w:cs="Arial" w:eastAsia="Arial" w:hAnsi="Arial"/>
          <w:sz w:val="16"/>
          <w:szCs w:val="16"/>
          <w:b w:val="1"/>
          <w:bCs w:val="1"/>
          <w:i w:val="1"/>
          <w:iCs w:val="1"/>
          <w:color w:val="202124"/>
        </w:rPr>
        <w:t xml:space="preserve">Forward Looking Statements: </w:t>
      </w:r>
      <w:r>
        <w:rPr>
          <w:rFonts w:ascii="Arial" w:cs="Arial" w:eastAsia="Arial" w:hAnsi="Arial"/>
          <w:sz w:val="16"/>
          <w:szCs w:val="16"/>
          <w:color w:val="202124"/>
        </w:rPr>
        <w:t>Certain statements contained in this proxy statement, including statements about our estimates,</w:t>
      </w:r>
      <w:r>
        <w:rPr>
          <w:rFonts w:ascii="Arial" w:cs="Arial" w:eastAsia="Arial" w:hAnsi="Arial"/>
          <w:sz w:val="16"/>
          <w:szCs w:val="16"/>
          <w:b w:val="1"/>
          <w:bCs w:val="1"/>
          <w:i w:val="1"/>
          <w:iCs w:val="1"/>
          <w:color w:val="202124"/>
        </w:rPr>
        <w:t xml:space="preserve"> </w:t>
      </w:r>
      <w:r>
        <w:rPr>
          <w:rFonts w:ascii="Arial" w:cs="Arial" w:eastAsia="Arial" w:hAnsi="Arial"/>
          <w:sz w:val="16"/>
          <w:szCs w:val="16"/>
          <w:color w:val="202124"/>
        </w:rPr>
        <w:t xml:space="preserve">expectations, beliefs, intentions or strategies, constitute forward-looking statements that are subject to the safe harbor provisions of the Private Securities Litigation Reform Act of 1995. These are based on assumptions and assessments made by our management in light of experience and perception of historical trends, current conditions, expected future developments and other factors that we believe to be appropriate. These forward-looking statements are subject to a number of risks and uncertainties, some of which are discussed in more detail in the “Risk Factors” section contained in Item 1A under Part 1 of the Company’s FY26 Form 10-K. </w:t>
      </w:r>
      <w:r>
        <w:rPr>
          <w:rFonts w:ascii="Arial" w:cs="Arial" w:eastAsia="Arial" w:hAnsi="Arial"/>
          <w:sz w:val="16"/>
          <w:szCs w:val="16"/>
          <w:color w:val="202124"/>
          <w:highlight w:val="white"/>
        </w:rPr>
        <w:t>Forward-looking</w:t>
      </w:r>
      <w:r>
        <w:rPr>
          <w:rFonts w:ascii="Arial" w:cs="Arial" w:eastAsia="Arial" w:hAnsi="Arial"/>
          <w:sz w:val="16"/>
          <w:szCs w:val="16"/>
          <w:color w:val="202124"/>
        </w:rPr>
        <w:t xml:space="preserve"> </w:t>
      </w:r>
      <w:r>
        <w:rPr>
          <w:rFonts w:ascii="Arial" w:cs="Arial" w:eastAsia="Arial" w:hAnsi="Arial"/>
          <w:sz w:val="16"/>
          <w:szCs w:val="16"/>
          <w:color w:val="202124"/>
          <w:highlight w:val="white"/>
        </w:rPr>
        <w:t>statements speak only as of the date made. Except as required by applicable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20" w:type="dxa"/>
            <w:vAlign w:val="bottom"/>
          </w:tcPr>
          <w:p>
            <w:pPr>
              <w:jc w:val="right"/>
              <w:spacing w:after="0"/>
              <w:rPr>
                <w:sz w:val="20"/>
                <w:szCs w:val="20"/>
                <w:color w:val="auto"/>
              </w:rPr>
            </w:pPr>
            <w:r>
              <w:rPr>
                <w:rFonts w:ascii="Arial" w:cs="Arial" w:eastAsia="Arial" w:hAnsi="Arial"/>
                <w:sz w:val="18"/>
                <w:szCs w:val="18"/>
                <w:color w:val="202124"/>
              </w:rPr>
              <w:t>3</w:t>
            </w:r>
          </w:p>
        </w:tc>
      </w:tr>
    </w:tbl>
    <w:p>
      <w:pPr>
        <w:sectPr>
          <w:pgSz w:w="11900" w:h="16838" w:orient="portrait"/>
          <w:cols w:equalWidth="0" w:num="1">
            <w:col w:w="10360"/>
          </w:cols>
          <w:pgMar w:left="440" w:top="106" w:right="1099" w:bottom="1440" w:gutter="0" w:footer="0" w:header="0"/>
        </w:sectPr>
      </w:pPr>
    </w:p>
    <w:bookmarkStart w:id="6" w:name="page7"/>
    <w:bookmarkEnd w:id="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Board of Directors Nominees</w:t>
      </w:r>
    </w:p>
    <w:p>
      <w:pPr>
        <w:spacing w:after="0" w:line="111" w:lineRule="exact"/>
        <w:rPr>
          <w:sz w:val="20"/>
          <w:szCs w:val="20"/>
          <w:color w:val="auto"/>
        </w:rPr>
      </w:pPr>
    </w:p>
    <w:p>
      <w:pPr>
        <w:ind w:left="640" w:right="240"/>
        <w:spacing w:after="0" w:line="271" w:lineRule="auto"/>
        <w:rPr>
          <w:sz w:val="20"/>
          <w:szCs w:val="20"/>
          <w:color w:val="auto"/>
        </w:rPr>
      </w:pPr>
      <w:r>
        <w:rPr>
          <w:rFonts w:ascii="Arial" w:cs="Arial" w:eastAsia="Arial" w:hAnsi="Arial"/>
          <w:sz w:val="18"/>
          <w:szCs w:val="18"/>
          <w:color w:val="202124"/>
        </w:rPr>
        <w:t>The following tables do not include information about Claire McDonough, who has notified the Company of her decision not to stand for reelection.</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160" w:type="dxa"/>
            <w:vAlign w:val="bottom"/>
            <w:shd w:val="clear" w:color="auto" w:fill="202124"/>
          </w:tcPr>
          <w:p>
            <w:pPr>
              <w:ind w:left="140"/>
              <w:spacing w:after="0"/>
              <w:rPr>
                <w:sz w:val="20"/>
                <w:szCs w:val="20"/>
                <w:color w:val="auto"/>
              </w:rPr>
            </w:pPr>
            <w:r>
              <w:rPr>
                <w:rFonts w:ascii="Arial" w:cs="Arial" w:eastAsia="Arial" w:hAnsi="Arial"/>
                <w:sz w:val="14"/>
                <w:szCs w:val="14"/>
                <w:b w:val="1"/>
                <w:bCs w:val="1"/>
                <w:color w:val="FFFFFF"/>
              </w:rPr>
              <w:t>Name and Principal</w:t>
            </w:r>
          </w:p>
        </w:tc>
        <w:tc>
          <w:tcPr>
            <w:tcW w:w="3140" w:type="dxa"/>
            <w:vAlign w:val="bottom"/>
            <w:shd w:val="clear" w:color="auto" w:fill="202124"/>
          </w:tcPr>
          <w:p>
            <w:pPr>
              <w:spacing w:after="0"/>
              <w:rPr>
                <w:sz w:val="17"/>
                <w:szCs w:val="17"/>
                <w:color w:val="auto"/>
              </w:rPr>
            </w:pPr>
          </w:p>
        </w:tc>
        <w:tc>
          <w:tcPr>
            <w:tcW w:w="880" w:type="dxa"/>
            <w:vAlign w:val="bottom"/>
            <w:shd w:val="clear" w:color="auto" w:fill="202124"/>
          </w:tcPr>
          <w:p>
            <w:pPr>
              <w:jc w:val="center"/>
              <w:spacing w:after="0"/>
              <w:rPr>
                <w:sz w:val="20"/>
                <w:szCs w:val="20"/>
                <w:color w:val="auto"/>
              </w:rPr>
            </w:pPr>
            <w:r>
              <w:rPr>
                <w:rFonts w:ascii="Arial" w:cs="Arial" w:eastAsia="Arial" w:hAnsi="Arial"/>
                <w:sz w:val="14"/>
                <w:szCs w:val="14"/>
                <w:b w:val="1"/>
                <w:bCs w:val="1"/>
                <w:color w:val="FFFFFF"/>
              </w:rPr>
              <w:t>Director</w:t>
            </w:r>
          </w:p>
        </w:tc>
        <w:tc>
          <w:tcPr>
            <w:tcW w:w="2540" w:type="dxa"/>
            <w:vAlign w:val="bottom"/>
            <w:gridSpan w:val="3"/>
            <w:shd w:val="clear" w:color="auto" w:fill="202124"/>
          </w:tcPr>
          <w:p>
            <w:pPr>
              <w:jc w:val="center"/>
              <w:ind w:right="46"/>
              <w:spacing w:after="0"/>
              <w:rPr>
                <w:sz w:val="20"/>
                <w:szCs w:val="20"/>
                <w:color w:val="auto"/>
              </w:rPr>
            </w:pPr>
            <w:r>
              <w:rPr>
                <w:rFonts w:ascii="Arial" w:cs="Arial" w:eastAsia="Arial" w:hAnsi="Arial"/>
                <w:sz w:val="14"/>
                <w:szCs w:val="14"/>
                <w:b w:val="1"/>
                <w:bCs w:val="1"/>
                <w:color w:val="FFFFFF"/>
              </w:rPr>
              <w:t>Committee Membership</w:t>
            </w:r>
          </w:p>
        </w:tc>
      </w:tr>
      <w:tr>
        <w:trPr>
          <w:trHeight w:val="212"/>
        </w:trPr>
        <w:tc>
          <w:tcPr>
            <w:tcW w:w="3160" w:type="dxa"/>
            <w:vAlign w:val="bottom"/>
            <w:shd w:val="clear" w:color="auto" w:fill="202124"/>
          </w:tcPr>
          <w:p>
            <w:pPr>
              <w:ind w:left="140"/>
              <w:spacing w:after="0"/>
              <w:rPr>
                <w:sz w:val="20"/>
                <w:szCs w:val="20"/>
                <w:color w:val="auto"/>
              </w:rPr>
            </w:pPr>
            <w:r>
              <w:rPr>
                <w:rFonts w:ascii="Arial" w:cs="Arial" w:eastAsia="Arial" w:hAnsi="Arial"/>
                <w:sz w:val="14"/>
                <w:szCs w:val="14"/>
                <w:b w:val="1"/>
                <w:bCs w:val="1"/>
                <w:color w:val="FFFFFF"/>
              </w:rPr>
              <w:t>Occupation</w:t>
            </w:r>
          </w:p>
        </w:tc>
        <w:tc>
          <w:tcPr>
            <w:tcW w:w="3140" w:type="dxa"/>
            <w:vAlign w:val="bottom"/>
            <w:shd w:val="clear" w:color="auto" w:fill="202124"/>
          </w:tcPr>
          <w:p>
            <w:pPr>
              <w:ind w:left="1700"/>
              <w:spacing w:after="0"/>
              <w:rPr>
                <w:sz w:val="20"/>
                <w:szCs w:val="20"/>
                <w:color w:val="auto"/>
              </w:rPr>
            </w:pPr>
            <w:r>
              <w:rPr>
                <w:rFonts w:ascii="Arial" w:cs="Arial" w:eastAsia="Arial" w:hAnsi="Arial"/>
                <w:sz w:val="14"/>
                <w:szCs w:val="14"/>
                <w:b w:val="1"/>
                <w:bCs w:val="1"/>
                <w:color w:val="FFFFFF"/>
              </w:rPr>
              <w:t>Independent   Age</w:t>
            </w:r>
          </w:p>
        </w:tc>
        <w:tc>
          <w:tcPr>
            <w:tcW w:w="880" w:type="dxa"/>
            <w:vAlign w:val="bottom"/>
            <w:shd w:val="clear" w:color="auto" w:fill="202124"/>
          </w:tcPr>
          <w:p>
            <w:pPr>
              <w:jc w:val="center"/>
              <w:spacing w:after="0"/>
              <w:rPr>
                <w:sz w:val="20"/>
                <w:szCs w:val="20"/>
                <w:color w:val="auto"/>
              </w:rPr>
            </w:pPr>
            <w:r>
              <w:rPr>
                <w:rFonts w:ascii="Arial" w:cs="Arial" w:eastAsia="Arial" w:hAnsi="Arial"/>
                <w:sz w:val="14"/>
                <w:szCs w:val="14"/>
                <w:b w:val="1"/>
                <w:bCs w:val="1"/>
                <w:color w:val="FFFFFF"/>
              </w:rPr>
              <w:t>Since</w:t>
            </w:r>
          </w:p>
        </w:tc>
        <w:tc>
          <w:tcPr>
            <w:tcW w:w="780" w:type="dxa"/>
            <w:vAlign w:val="bottom"/>
            <w:shd w:val="clear" w:color="auto" w:fill="202124"/>
          </w:tcPr>
          <w:p>
            <w:pPr>
              <w:ind w:left="180"/>
              <w:spacing w:after="0"/>
              <w:rPr>
                <w:sz w:val="20"/>
                <w:szCs w:val="20"/>
                <w:color w:val="auto"/>
              </w:rPr>
            </w:pPr>
            <w:r>
              <w:rPr>
                <w:rFonts w:ascii="Arial" w:cs="Arial" w:eastAsia="Arial" w:hAnsi="Arial"/>
                <w:sz w:val="11"/>
                <w:szCs w:val="11"/>
                <w:b w:val="1"/>
                <w:bCs w:val="1"/>
                <w:color w:val="FFFFFF"/>
              </w:rPr>
              <w:t>Audit</w:t>
            </w:r>
          </w:p>
        </w:tc>
        <w:tc>
          <w:tcPr>
            <w:tcW w:w="880" w:type="dxa"/>
            <w:vAlign w:val="bottom"/>
            <w:shd w:val="clear" w:color="auto" w:fill="202124"/>
          </w:tcPr>
          <w:p>
            <w:pPr>
              <w:jc w:val="center"/>
              <w:spacing w:after="0"/>
              <w:rPr>
                <w:sz w:val="20"/>
                <w:szCs w:val="20"/>
                <w:color w:val="auto"/>
              </w:rPr>
            </w:pPr>
            <w:r>
              <w:rPr>
                <w:rFonts w:ascii="Arial" w:cs="Arial" w:eastAsia="Arial" w:hAnsi="Arial"/>
                <w:sz w:val="11"/>
                <w:szCs w:val="11"/>
                <w:b w:val="1"/>
                <w:bCs w:val="1"/>
                <w:color w:val="FFFFFF"/>
              </w:rPr>
              <w:t>Comp</w:t>
            </w:r>
          </w:p>
        </w:tc>
        <w:tc>
          <w:tcPr>
            <w:tcW w:w="880" w:type="dxa"/>
            <w:vAlign w:val="bottom"/>
            <w:shd w:val="clear" w:color="auto" w:fill="202124"/>
          </w:tcPr>
          <w:p>
            <w:pPr>
              <w:ind w:left="240"/>
              <w:spacing w:after="0"/>
              <w:rPr>
                <w:sz w:val="20"/>
                <w:szCs w:val="20"/>
                <w:color w:val="auto"/>
              </w:rPr>
            </w:pPr>
            <w:r>
              <w:rPr>
                <w:rFonts w:ascii="Arial" w:cs="Arial" w:eastAsia="Arial" w:hAnsi="Arial"/>
                <w:sz w:val="11"/>
                <w:szCs w:val="11"/>
                <w:b w:val="1"/>
                <w:bCs w:val="1"/>
                <w:color w:val="FFFFFF"/>
              </w:rPr>
              <w:t>NomGov</w:t>
            </w:r>
          </w:p>
        </w:tc>
      </w:tr>
    </w:tbl>
    <w:p>
      <w:pPr>
        <w:spacing w:after="0" w:line="251"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Philip B. Daniele, III</w:t>
            </w:r>
          </w:p>
        </w:tc>
        <w:tc>
          <w:tcPr>
            <w:tcW w:w="8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202124"/>
              </w:rPr>
              <w:t>57</w:t>
            </w:r>
          </w:p>
        </w:tc>
        <w:tc>
          <w:tcPr>
            <w:tcW w:w="840" w:type="dxa"/>
            <w:vAlign w:val="bottom"/>
          </w:tcPr>
          <w:p>
            <w:pPr>
              <w:jc w:val="right"/>
              <w:ind w:right="170"/>
              <w:spacing w:after="0"/>
              <w:rPr>
                <w:sz w:val="20"/>
                <w:szCs w:val="20"/>
                <w:color w:val="auto"/>
              </w:rPr>
            </w:pPr>
            <w:r>
              <w:rPr>
                <w:rFonts w:ascii="Arial" w:cs="Arial" w:eastAsia="Arial" w:hAnsi="Arial"/>
                <w:sz w:val="18"/>
                <w:szCs w:val="18"/>
                <w:color w:val="202124"/>
              </w:rPr>
              <w:t>2024</w:t>
            </w: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President and CEO of AutoZone, Inc.</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Michael A. George</w:t>
            </w:r>
          </w:p>
        </w:tc>
        <w:tc>
          <w:tcPr>
            <w:tcW w:w="82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202124"/>
              </w:rPr>
              <w:t>65</w:t>
            </w:r>
          </w:p>
        </w:tc>
        <w:tc>
          <w:tcPr>
            <w:tcW w:w="840" w:type="dxa"/>
            <w:vAlign w:val="bottom"/>
          </w:tcPr>
          <w:p>
            <w:pPr>
              <w:jc w:val="right"/>
              <w:ind w:right="170"/>
              <w:spacing w:after="0"/>
              <w:rPr>
                <w:sz w:val="20"/>
                <w:szCs w:val="20"/>
                <w:color w:val="auto"/>
              </w:rPr>
            </w:pPr>
            <w:r>
              <w:rPr>
                <w:rFonts w:ascii="Arial" w:cs="Arial" w:eastAsia="Arial" w:hAnsi="Arial"/>
                <w:sz w:val="18"/>
                <w:szCs w:val="18"/>
                <w:color w:val="202124"/>
              </w:rPr>
              <w:t>2022</w:t>
            </w:r>
          </w:p>
        </w:tc>
        <w:tc>
          <w:tcPr>
            <w:tcW w:w="800" w:type="dxa"/>
            <w:vAlign w:val="bottom"/>
          </w:tcPr>
          <w:p>
            <w:pPr>
              <w:ind w:left="260"/>
              <w:spacing w:after="0"/>
              <w:rPr>
                <w:sz w:val="20"/>
                <w:szCs w:val="20"/>
                <w:color w:val="auto"/>
              </w:rPr>
            </w:pPr>
            <w:r>
              <w:rPr>
                <w:rFonts w:ascii="Arial" w:cs="Arial" w:eastAsia="Arial" w:hAnsi="Arial"/>
                <w:sz w:val="18"/>
                <w:szCs w:val="18"/>
                <w:color w:val="202124"/>
              </w:rPr>
              <w:t>M</w:t>
            </w:r>
          </w:p>
        </w:tc>
        <w:tc>
          <w:tcPr>
            <w:tcW w:w="1760" w:type="dxa"/>
            <w:vAlign w:val="bottom"/>
          </w:tcPr>
          <w:p>
            <w:pPr>
              <w:ind w:left="380"/>
              <w:spacing w:after="0"/>
              <w:rPr>
                <w:sz w:val="20"/>
                <w:szCs w:val="20"/>
                <w:color w:val="auto"/>
              </w:rPr>
            </w:pPr>
            <w:r>
              <w:rPr>
                <w:rFonts w:ascii="Arial" w:cs="Arial" w:eastAsia="Arial" w:hAnsi="Arial"/>
                <w:sz w:val="18"/>
                <w:szCs w:val="18"/>
                <w:color w:val="202124"/>
              </w:rPr>
              <w:t>M</w:t>
            </w: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Chair and Interim CEO of QVC Group</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Linda A. Goodspeed</w:t>
            </w:r>
          </w:p>
        </w:tc>
        <w:tc>
          <w:tcPr>
            <w:tcW w:w="820" w:type="dxa"/>
            <w:vAlign w:val="bottom"/>
          </w:tcPr>
          <w:p>
            <w:pPr>
              <w:spacing w:after="0"/>
              <w:rPr>
                <w:sz w:val="24"/>
                <w:szCs w:val="24"/>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202124"/>
              </w:rPr>
              <w:t>64</w:t>
            </w: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202124"/>
              </w:rPr>
              <w:t>2013</w:t>
            </w: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1100"/>
              <w:spacing w:after="0"/>
              <w:rPr>
                <w:sz w:val="20"/>
                <w:szCs w:val="20"/>
                <w:color w:val="auto"/>
              </w:rPr>
            </w:pPr>
            <w:r>
              <w:rPr>
                <w:rFonts w:ascii="Arial" w:cs="Arial" w:eastAsia="Arial" w:hAnsi="Arial"/>
                <w:sz w:val="14"/>
                <w:szCs w:val="14"/>
                <w:color w:val="202124"/>
              </w:rPr>
              <w:t>Former Managing Partner and COO of WealthStrategies</w:t>
            </w:r>
          </w:p>
        </w:tc>
        <w:tc>
          <w:tcPr>
            <w:tcW w:w="8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Financial Advisors</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Earl G. Graves, Jr.</w:t>
            </w:r>
          </w:p>
        </w:tc>
        <w:tc>
          <w:tcPr>
            <w:tcW w:w="82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202124"/>
              </w:rPr>
              <w:t>64</w:t>
            </w:r>
          </w:p>
        </w:tc>
        <w:tc>
          <w:tcPr>
            <w:tcW w:w="840" w:type="dxa"/>
            <w:vAlign w:val="bottom"/>
          </w:tcPr>
          <w:p>
            <w:pPr>
              <w:jc w:val="right"/>
              <w:ind w:right="170"/>
              <w:spacing w:after="0"/>
              <w:rPr>
                <w:sz w:val="20"/>
                <w:szCs w:val="20"/>
                <w:color w:val="auto"/>
              </w:rPr>
            </w:pPr>
            <w:r>
              <w:rPr>
                <w:rFonts w:ascii="Arial" w:cs="Arial" w:eastAsia="Arial" w:hAnsi="Arial"/>
                <w:sz w:val="18"/>
                <w:szCs w:val="18"/>
                <w:color w:val="202124"/>
              </w:rPr>
              <w:t>2002</w:t>
            </w: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President and CEO of Black Enterprise</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77"/>
        </w:trPr>
        <w:tc>
          <w:tcPr>
            <w:tcW w:w="4880" w:type="dxa"/>
            <w:vAlign w:val="bottom"/>
            <w:vMerge w:val="restart"/>
          </w:tcPr>
          <w:p>
            <w:pPr>
              <w:ind w:left="1100"/>
              <w:spacing w:after="0"/>
              <w:rPr>
                <w:sz w:val="20"/>
                <w:szCs w:val="20"/>
                <w:color w:val="auto"/>
              </w:rPr>
            </w:pPr>
            <w:r>
              <w:rPr>
                <w:rFonts w:ascii="Arial" w:cs="Arial" w:eastAsia="Arial" w:hAnsi="Arial"/>
                <w:sz w:val="18"/>
                <w:szCs w:val="18"/>
                <w:b w:val="1"/>
                <w:bCs w:val="1"/>
                <w:color w:val="202124"/>
              </w:rPr>
              <w:t>Brian P. Hannasch</w:t>
            </w:r>
          </w:p>
        </w:tc>
        <w:tc>
          <w:tcPr>
            <w:tcW w:w="820" w:type="dxa"/>
            <w:vAlign w:val="bottom"/>
          </w:tcPr>
          <w:p>
            <w:pPr>
              <w:ind w:left="180"/>
              <w:spacing w:after="0"/>
              <w:rPr>
                <w:sz w:val="20"/>
                <w:szCs w:val="20"/>
                <w:color w:val="auto"/>
              </w:rPr>
            </w:pPr>
            <w:r>
              <w:rPr>
                <w:rFonts w:ascii="Arial" w:cs="Arial" w:eastAsia="Arial" w:hAnsi="Arial"/>
                <w:sz w:val="16"/>
                <w:szCs w:val="16"/>
                <w:b w:val="1"/>
                <w:bCs w:val="1"/>
                <w:color w:val="auto"/>
              </w:rPr>
              <w:t>Lead</w:t>
            </w: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202124"/>
              </w:rPr>
              <w:t>60</w:t>
            </w: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202124"/>
              </w:rPr>
              <w:t>2022</w:t>
            </w:r>
          </w:p>
        </w:tc>
        <w:tc>
          <w:tcPr>
            <w:tcW w:w="800" w:type="dxa"/>
            <w:vAlign w:val="bottom"/>
          </w:tcPr>
          <w:p>
            <w:pPr>
              <w:spacing w:after="0"/>
              <w:rPr>
                <w:sz w:val="24"/>
                <w:szCs w:val="24"/>
                <w:color w:val="auto"/>
              </w:rPr>
            </w:pPr>
          </w:p>
        </w:tc>
        <w:tc>
          <w:tcPr>
            <w:tcW w:w="1760" w:type="dxa"/>
            <w:vAlign w:val="bottom"/>
            <w:vMerge w:val="restart"/>
          </w:tcPr>
          <w:p>
            <w:pPr>
              <w:ind w:left="380"/>
              <w:spacing w:after="0"/>
              <w:rPr>
                <w:sz w:val="20"/>
                <w:szCs w:val="20"/>
                <w:color w:val="auto"/>
              </w:rPr>
            </w:pPr>
            <w:r>
              <w:rPr>
                <w:rFonts w:ascii="Arial" w:cs="Arial" w:eastAsia="Arial" w:hAnsi="Arial"/>
                <w:sz w:val="18"/>
                <w:szCs w:val="18"/>
                <w:color w:val="202124"/>
              </w:rPr>
              <w:t>M</w:t>
            </w:r>
          </w:p>
        </w:tc>
        <w:tc>
          <w:tcPr>
            <w:tcW w:w="0" w:type="dxa"/>
            <w:vAlign w:val="bottom"/>
          </w:tcPr>
          <w:p>
            <w:pPr>
              <w:spacing w:after="0"/>
              <w:rPr>
                <w:sz w:val="1"/>
                <w:szCs w:val="1"/>
                <w:color w:val="auto"/>
              </w:rPr>
            </w:pPr>
          </w:p>
        </w:tc>
      </w:tr>
      <w:tr>
        <w:trPr>
          <w:trHeight w:val="79"/>
        </w:trPr>
        <w:tc>
          <w:tcPr>
            <w:tcW w:w="4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Former President and CEO of Alimentation Couche-Tard</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Gale V. King</w:t>
            </w:r>
          </w:p>
        </w:tc>
        <w:tc>
          <w:tcPr>
            <w:tcW w:w="820" w:type="dxa"/>
            <w:vAlign w:val="bottom"/>
          </w:tcPr>
          <w:p>
            <w:pPr>
              <w:spacing w:after="0"/>
              <w:rPr>
                <w:sz w:val="24"/>
                <w:szCs w:val="24"/>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202124"/>
              </w:rPr>
              <w:t>70</w:t>
            </w: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202124"/>
              </w:rPr>
              <w:t>2018</w:t>
            </w:r>
          </w:p>
        </w:tc>
        <w:tc>
          <w:tcPr>
            <w:tcW w:w="800" w:type="dxa"/>
            <w:vAlign w:val="bottom"/>
          </w:tcPr>
          <w:p>
            <w:pPr>
              <w:spacing w:after="0"/>
              <w:rPr>
                <w:sz w:val="24"/>
                <w:szCs w:val="24"/>
                <w:color w:val="auto"/>
              </w:rPr>
            </w:pPr>
          </w:p>
        </w:tc>
        <w:tc>
          <w:tcPr>
            <w:tcW w:w="1760" w:type="dxa"/>
            <w:vAlign w:val="bottom"/>
            <w:vMerge w:val="restart"/>
          </w:tcPr>
          <w:p>
            <w:pPr>
              <w:ind w:left="1280"/>
              <w:spacing w:after="0"/>
              <w:rPr>
                <w:sz w:val="20"/>
                <w:szCs w:val="20"/>
                <w:color w:val="auto"/>
              </w:rPr>
            </w:pPr>
            <w:r>
              <w:rPr>
                <w:rFonts w:ascii="Arial" w:cs="Arial" w:eastAsia="Arial" w:hAnsi="Arial"/>
                <w:sz w:val="18"/>
                <w:szCs w:val="18"/>
                <w:color w:val="202124"/>
              </w:rPr>
              <w:t>M</w:t>
            </w:r>
          </w:p>
        </w:tc>
        <w:tc>
          <w:tcPr>
            <w:tcW w:w="0" w:type="dxa"/>
            <w:vAlign w:val="bottom"/>
          </w:tcPr>
          <w:p>
            <w:pPr>
              <w:spacing w:after="0"/>
              <w:rPr>
                <w:sz w:val="1"/>
                <w:szCs w:val="1"/>
                <w:color w:val="auto"/>
              </w:rPr>
            </w:pPr>
          </w:p>
        </w:tc>
      </w:tr>
      <w:tr>
        <w:trPr>
          <w:trHeight w:val="162"/>
        </w:trPr>
        <w:tc>
          <w:tcPr>
            <w:tcW w:w="4880" w:type="dxa"/>
            <w:vAlign w:val="bottom"/>
          </w:tcPr>
          <w:p>
            <w:pPr>
              <w:ind w:left="1100"/>
              <w:spacing w:after="0"/>
              <w:rPr>
                <w:sz w:val="20"/>
                <w:szCs w:val="20"/>
                <w:color w:val="auto"/>
              </w:rPr>
            </w:pPr>
            <w:r>
              <w:rPr>
                <w:rFonts w:ascii="Arial" w:cs="Arial" w:eastAsia="Arial" w:hAnsi="Arial"/>
                <w:sz w:val="14"/>
                <w:szCs w:val="14"/>
                <w:color w:val="202124"/>
              </w:rPr>
              <w:t>Former EVP and Chief Administrative Officer of</w:t>
            </w:r>
          </w:p>
        </w:tc>
        <w:tc>
          <w:tcPr>
            <w:tcW w:w="8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Nationwide Mutual Insurance Company</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George R. Mrkonic, Jr.</w:t>
            </w:r>
          </w:p>
        </w:tc>
        <w:tc>
          <w:tcPr>
            <w:tcW w:w="82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202124"/>
              </w:rPr>
              <w:t>74</w:t>
            </w:r>
          </w:p>
        </w:tc>
        <w:tc>
          <w:tcPr>
            <w:tcW w:w="840" w:type="dxa"/>
            <w:vAlign w:val="bottom"/>
          </w:tcPr>
          <w:p>
            <w:pPr>
              <w:jc w:val="right"/>
              <w:ind w:right="170"/>
              <w:spacing w:after="0"/>
              <w:rPr>
                <w:sz w:val="20"/>
                <w:szCs w:val="20"/>
                <w:color w:val="auto"/>
              </w:rPr>
            </w:pPr>
            <w:r>
              <w:rPr>
                <w:rFonts w:ascii="Arial" w:cs="Arial" w:eastAsia="Arial" w:hAnsi="Arial"/>
                <w:sz w:val="18"/>
                <w:szCs w:val="18"/>
                <w:color w:val="202124"/>
              </w:rPr>
              <w:t>2006</w:t>
            </w:r>
          </w:p>
        </w:tc>
        <w:tc>
          <w:tcPr>
            <w:tcW w:w="800" w:type="dxa"/>
            <w:vAlign w:val="bottom"/>
          </w:tcPr>
          <w:p>
            <w:pPr>
              <w:ind w:left="260"/>
              <w:spacing w:after="0"/>
              <w:rPr>
                <w:sz w:val="20"/>
                <w:szCs w:val="20"/>
                <w:color w:val="auto"/>
              </w:rPr>
            </w:pPr>
            <w:r>
              <w:rPr>
                <w:rFonts w:ascii="Arial" w:cs="Arial" w:eastAsia="Arial" w:hAnsi="Arial"/>
                <w:sz w:val="18"/>
                <w:szCs w:val="18"/>
                <w:color w:val="auto"/>
              </w:rPr>
              <w:t>M</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Former Non-Executive Chairman of Maru Group</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William C. Rhodes, III</w:t>
            </w:r>
          </w:p>
        </w:tc>
        <w:tc>
          <w:tcPr>
            <w:tcW w:w="820" w:type="dxa"/>
            <w:vAlign w:val="bottom"/>
          </w:tcPr>
          <w:p>
            <w:pPr>
              <w:spacing w:after="0"/>
              <w:rPr>
                <w:sz w:val="24"/>
                <w:szCs w:val="24"/>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202124"/>
              </w:rPr>
              <w:t>61</w:t>
            </w: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202124"/>
              </w:rPr>
              <w:t>2005</w:t>
            </w: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1100"/>
              <w:spacing w:after="0"/>
              <w:rPr>
                <w:sz w:val="20"/>
                <w:szCs w:val="20"/>
                <w:color w:val="auto"/>
              </w:rPr>
            </w:pPr>
            <w:r>
              <w:rPr>
                <w:rFonts w:ascii="Arial" w:cs="Arial" w:eastAsia="Arial" w:hAnsi="Arial"/>
                <w:sz w:val="14"/>
                <w:szCs w:val="14"/>
                <w:color w:val="202124"/>
              </w:rPr>
              <w:t>Chairman and former President and CEO of AutoZone,</w:t>
            </w:r>
          </w:p>
        </w:tc>
        <w:tc>
          <w:tcPr>
            <w:tcW w:w="8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Inc.</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Jill A. Soltau</w:t>
            </w:r>
          </w:p>
        </w:tc>
        <w:tc>
          <w:tcPr>
            <w:tcW w:w="82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202124"/>
              </w:rPr>
              <w:t>59</w:t>
            </w:r>
          </w:p>
        </w:tc>
        <w:tc>
          <w:tcPr>
            <w:tcW w:w="840" w:type="dxa"/>
            <w:vAlign w:val="bottom"/>
          </w:tcPr>
          <w:p>
            <w:pPr>
              <w:jc w:val="right"/>
              <w:ind w:right="170"/>
              <w:spacing w:after="0"/>
              <w:rPr>
                <w:sz w:val="20"/>
                <w:szCs w:val="20"/>
                <w:color w:val="auto"/>
              </w:rPr>
            </w:pPr>
            <w:r>
              <w:rPr>
                <w:rFonts w:ascii="Arial" w:cs="Arial" w:eastAsia="Arial" w:hAnsi="Arial"/>
                <w:sz w:val="18"/>
                <w:szCs w:val="18"/>
                <w:color w:val="202124"/>
              </w:rPr>
              <w:t>2018</w:t>
            </w:r>
          </w:p>
        </w:tc>
        <w:tc>
          <w:tcPr>
            <w:tcW w:w="800" w:type="dxa"/>
            <w:vAlign w:val="bottom"/>
          </w:tcPr>
          <w:p>
            <w:pPr>
              <w:spacing w:after="0"/>
              <w:rPr>
                <w:sz w:val="24"/>
                <w:szCs w:val="24"/>
                <w:color w:val="auto"/>
              </w:rPr>
            </w:pPr>
          </w:p>
        </w:tc>
        <w:tc>
          <w:tcPr>
            <w:tcW w:w="1760" w:type="dxa"/>
            <w:vAlign w:val="bottom"/>
          </w:tcPr>
          <w:p>
            <w:pPr>
              <w:ind w:left="128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190"/>
        </w:trPr>
        <w:tc>
          <w:tcPr>
            <w:tcW w:w="4880" w:type="dxa"/>
            <w:vAlign w:val="bottom"/>
          </w:tcPr>
          <w:p>
            <w:pPr>
              <w:ind w:left="1100"/>
              <w:spacing w:after="0"/>
              <w:rPr>
                <w:sz w:val="20"/>
                <w:szCs w:val="20"/>
                <w:color w:val="auto"/>
              </w:rPr>
            </w:pPr>
            <w:r>
              <w:rPr>
                <w:rFonts w:ascii="Arial" w:cs="Arial" w:eastAsia="Arial" w:hAnsi="Arial"/>
                <w:sz w:val="14"/>
                <w:szCs w:val="14"/>
                <w:color w:val="202124"/>
              </w:rPr>
              <w:t>Former CEO of J.C. Penney Company, Inc.</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4880" w:type="dxa"/>
            <w:vAlign w:val="bottom"/>
          </w:tcPr>
          <w:p>
            <w:pPr>
              <w:ind w:left="1100"/>
              <w:spacing w:after="0"/>
              <w:rPr>
                <w:sz w:val="20"/>
                <w:szCs w:val="20"/>
                <w:color w:val="auto"/>
              </w:rPr>
            </w:pPr>
            <w:r>
              <w:rPr>
                <w:rFonts w:ascii="Arial" w:cs="Arial" w:eastAsia="Arial" w:hAnsi="Arial"/>
                <w:sz w:val="18"/>
                <w:szCs w:val="18"/>
                <w:b w:val="1"/>
                <w:bCs w:val="1"/>
                <w:color w:val="202124"/>
              </w:rPr>
              <w:t>Constantino Spas Montesinos</w:t>
            </w:r>
          </w:p>
        </w:tc>
        <w:tc>
          <w:tcPr>
            <w:tcW w:w="820" w:type="dxa"/>
            <w:vAlign w:val="bottom"/>
          </w:tcPr>
          <w:p>
            <w:pPr>
              <w:spacing w:after="0"/>
              <w:rPr>
                <w:sz w:val="24"/>
                <w:szCs w:val="24"/>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202124"/>
              </w:rPr>
              <w:t>56</w:t>
            </w: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202124"/>
              </w:rPr>
              <w:t>2025</w:t>
            </w:r>
          </w:p>
        </w:tc>
        <w:tc>
          <w:tcPr>
            <w:tcW w:w="800" w:type="dxa"/>
            <w:vAlign w:val="bottom"/>
            <w:vMerge w:val="restart"/>
          </w:tcPr>
          <w:p>
            <w:pPr>
              <w:ind w:left="260"/>
              <w:spacing w:after="0"/>
              <w:rPr>
                <w:sz w:val="20"/>
                <w:szCs w:val="20"/>
                <w:color w:val="auto"/>
              </w:rPr>
            </w:pPr>
            <w:r>
              <w:rPr>
                <w:rFonts w:ascii="Arial" w:cs="Arial" w:eastAsia="Arial" w:hAnsi="Arial"/>
                <w:sz w:val="18"/>
                <w:szCs w:val="18"/>
                <w:color w:val="auto"/>
              </w:rPr>
              <w:t>M</w:t>
            </w:r>
          </w:p>
        </w:tc>
        <w:tc>
          <w:tcPr>
            <w:tcW w:w="1760" w:type="dxa"/>
            <w:vAlign w:val="bottom"/>
            <w:vMerge w:val="restart"/>
          </w:tcPr>
          <w:p>
            <w:pPr>
              <w:ind w:left="128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176"/>
        </w:trPr>
        <w:tc>
          <w:tcPr>
            <w:tcW w:w="4880" w:type="dxa"/>
            <w:vAlign w:val="bottom"/>
          </w:tcPr>
          <w:p>
            <w:pPr>
              <w:ind w:left="1100"/>
              <w:spacing w:after="0"/>
              <w:rPr>
                <w:sz w:val="20"/>
                <w:szCs w:val="20"/>
                <w:color w:val="auto"/>
              </w:rPr>
            </w:pPr>
            <w:r>
              <w:rPr>
                <w:rFonts w:ascii="Arial" w:cs="Arial" w:eastAsia="Arial" w:hAnsi="Arial"/>
                <w:sz w:val="14"/>
                <w:szCs w:val="14"/>
                <w:color w:val="202124"/>
              </w:rPr>
              <w:t>CEO of the Proximity Americas and Mobility Division of</w:t>
            </w:r>
          </w:p>
        </w:tc>
        <w:tc>
          <w:tcPr>
            <w:tcW w:w="8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740"/>
        <w:spacing w:after="0"/>
        <w:rPr>
          <w:sz w:val="20"/>
          <w:szCs w:val="20"/>
          <w:color w:val="auto"/>
        </w:rPr>
      </w:pPr>
      <w:r>
        <w:rPr>
          <w:rFonts w:ascii="Arial" w:cs="Arial" w:eastAsia="Arial" w:hAnsi="Arial"/>
          <w:sz w:val="14"/>
          <w:szCs w:val="14"/>
          <w:color w:val="202124"/>
        </w:rPr>
        <w:t>FEMSA</w:t>
      </w:r>
    </w:p>
    <w:p>
      <w:pPr>
        <w:spacing w:after="0" w:line="307" w:lineRule="exact"/>
        <w:rPr>
          <w:sz w:val="20"/>
          <w:szCs w:val="20"/>
          <w:color w:val="auto"/>
        </w:rPr>
      </w:pPr>
    </w:p>
    <w:p>
      <w:pPr>
        <w:ind w:left="780"/>
        <w:spacing w:after="0"/>
        <w:rPr>
          <w:sz w:val="20"/>
          <w:szCs w:val="20"/>
          <w:color w:val="auto"/>
        </w:rPr>
      </w:pPr>
      <w:r>
        <w:rPr>
          <w:sz w:val="1"/>
          <w:szCs w:val="1"/>
          <w:color w:val="auto"/>
        </w:rPr>
        <w:drawing>
          <wp:inline distT="0" distB="0" distL="0" distR="0">
            <wp:extent cx="77470" cy="768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3"/>
          <w:szCs w:val="13"/>
          <w:i w:val="1"/>
          <w:iCs w:val="1"/>
          <w:color w:val="202124"/>
        </w:rPr>
        <w:t xml:space="preserve"> indicates Committee Chairperson</w:t>
      </w:r>
    </w:p>
    <w:p>
      <w:pPr>
        <w:ind w:left="780"/>
        <w:spacing w:after="0" w:line="227" w:lineRule="auto"/>
        <w:rPr>
          <w:sz w:val="20"/>
          <w:szCs w:val="20"/>
          <w:color w:val="auto"/>
        </w:rPr>
      </w:pPr>
      <w:r>
        <w:rPr>
          <w:rFonts w:ascii="Arial" w:cs="Arial" w:eastAsia="Arial" w:hAnsi="Arial"/>
          <w:sz w:val="13"/>
          <w:szCs w:val="13"/>
          <w:i w:val="1"/>
          <w:iCs w:val="1"/>
          <w:color w:val="202124"/>
        </w:rPr>
        <w:t>M indicates Committee Member</w:t>
      </w:r>
    </w:p>
    <w:p>
      <w:pPr>
        <w:ind w:left="780"/>
        <w:spacing w:after="0"/>
        <w:rPr>
          <w:sz w:val="20"/>
          <w:szCs w:val="20"/>
          <w:color w:val="auto"/>
        </w:rPr>
      </w:pPr>
      <w:r>
        <w:rPr>
          <w:rFonts w:ascii="Arial" w:cs="Arial" w:eastAsia="Arial" w:hAnsi="Arial"/>
          <w:sz w:val="13"/>
          <w:szCs w:val="13"/>
          <w:i w:val="1"/>
          <w:iCs w:val="1"/>
          <w:color w:val="202124"/>
        </w:rPr>
        <w:t>“Lead” indicates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4    </w:t>
      </w:r>
      <w:r>
        <w:rPr>
          <w:sz w:val="1"/>
          <w:szCs w:val="1"/>
          <w:color w:val="auto"/>
        </w:rPr>
        <w:drawing>
          <wp:inline distT="0" distB="0" distL="0" distR="0">
            <wp:extent cx="116586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7" w:name="page8"/>
    <w:bookmarkEnd w:id="7"/>
    <w:p>
      <w:pPr>
        <w:spacing w:after="0"/>
        <w:rPr>
          <w:sz w:val="20"/>
          <w:szCs w:val="20"/>
          <w:color w:val="auto"/>
        </w:rPr>
      </w:pPr>
      <w:r>
        <w:rPr>
          <w:rFonts w:ascii="Calibri" w:cs="Calibri" w:eastAsia="Calibri" w:hAnsi="Calibri"/>
          <w:sz w:val="15"/>
          <w:szCs w:val="15"/>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-95250</wp:posOffset>
            </wp:positionV>
            <wp:extent cx="723265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ectPr>
          <w:pgSz w:w="11900" w:h="16838" w:orient="portrait"/>
          <w:cols w:equalWidth="0" w:num="1">
            <w:col w:w="10360"/>
          </w:cols>
          <w:pgMar w:left="440" w:top="1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SKILLS</w:t>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FFFF"/>
        </w:rPr>
        <w:t>Core Skills</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47"/>
        </w:trPr>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Leadership</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 10</w:t>
            </w:r>
          </w:p>
        </w:tc>
        <w:tc>
          <w:tcPr>
            <w:tcW w:w="0" w:type="dxa"/>
            <w:vAlign w:val="bottom"/>
          </w:tcPr>
          <w:p>
            <w:pPr>
              <w:spacing w:after="0"/>
              <w:rPr>
                <w:sz w:val="1"/>
                <w:szCs w:val="1"/>
                <w:color w:val="auto"/>
              </w:rPr>
            </w:pPr>
          </w:p>
        </w:tc>
      </w:tr>
      <w:tr>
        <w:trPr>
          <w:trHeight w:val="150"/>
        </w:trPr>
        <w:tc>
          <w:tcPr>
            <w:tcW w:w="32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Financial Literacy</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 10</w:t>
            </w:r>
          </w:p>
        </w:tc>
        <w:tc>
          <w:tcPr>
            <w:tcW w:w="0" w:type="dxa"/>
            <w:vAlign w:val="bottom"/>
          </w:tcPr>
          <w:p>
            <w:pPr>
              <w:spacing w:after="0"/>
              <w:rPr>
                <w:sz w:val="1"/>
                <w:szCs w:val="1"/>
                <w:color w:val="auto"/>
              </w:rPr>
            </w:pPr>
          </w:p>
        </w:tc>
      </w:tr>
      <w:tr>
        <w:trPr>
          <w:trHeight w:val="150"/>
        </w:trPr>
        <w:tc>
          <w:tcPr>
            <w:tcW w:w="32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370"/>
        </w:trPr>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Board Experience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 10</w:t>
            </w:r>
          </w:p>
        </w:tc>
        <w:tc>
          <w:tcPr>
            <w:tcW w:w="0" w:type="dxa"/>
            <w:vAlign w:val="bottom"/>
          </w:tcPr>
          <w:p>
            <w:pPr>
              <w:spacing w:after="0"/>
              <w:rPr>
                <w:sz w:val="1"/>
                <w:szCs w:val="1"/>
                <w:color w:val="auto"/>
              </w:rPr>
            </w:pPr>
          </w:p>
        </w:tc>
      </w:tr>
      <w:tr>
        <w:trPr>
          <w:trHeight w:val="150"/>
        </w:trPr>
        <w:tc>
          <w:tcPr>
            <w:tcW w:w="32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Strategy &amp; Business</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 10</w:t>
            </w:r>
          </w:p>
        </w:tc>
        <w:tc>
          <w:tcPr>
            <w:tcW w:w="0" w:type="dxa"/>
            <w:vAlign w:val="bottom"/>
          </w:tcPr>
          <w:p>
            <w:pPr>
              <w:spacing w:after="0"/>
              <w:rPr>
                <w:sz w:val="1"/>
                <w:szCs w:val="1"/>
                <w:color w:val="auto"/>
              </w:rPr>
            </w:pPr>
          </w:p>
        </w:tc>
      </w:tr>
      <w:tr>
        <w:trPr>
          <w:trHeight w:val="152"/>
        </w:trPr>
        <w:tc>
          <w:tcPr>
            <w:tcW w:w="328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Development</w:t>
            </w:r>
          </w:p>
        </w:tc>
        <w:tc>
          <w:tcPr>
            <w:tcW w:w="84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28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3280" w:type="dxa"/>
            <w:vAlign w:val="bottom"/>
          </w:tcPr>
          <w:p>
            <w:pPr>
              <w:ind w:left="920"/>
              <w:spacing w:after="0"/>
              <w:rPr>
                <w:sz w:val="20"/>
                <w:szCs w:val="20"/>
                <w:color w:val="auto"/>
              </w:rPr>
            </w:pPr>
            <w:r>
              <w:rPr>
                <w:rFonts w:ascii="Arial" w:cs="Arial" w:eastAsia="Arial" w:hAnsi="Arial"/>
                <w:sz w:val="18"/>
                <w:szCs w:val="18"/>
                <w:b w:val="1"/>
                <w:bCs w:val="1"/>
                <w:color w:val="auto"/>
              </w:rPr>
              <w:t>Risk Management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 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COMPOSITION</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FFFF"/>
        </w:rPr>
        <w:t>Independence</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47"/>
        </w:trPr>
        <w:tc>
          <w:tcPr>
            <w:tcW w:w="3300" w:type="dxa"/>
            <w:vAlign w:val="bottom"/>
          </w:tcPr>
          <w:p>
            <w:pPr>
              <w:ind w:left="100"/>
              <w:spacing w:after="0"/>
              <w:rPr>
                <w:sz w:val="20"/>
                <w:szCs w:val="20"/>
                <w:color w:val="auto"/>
              </w:rPr>
            </w:pPr>
            <w:r>
              <w:rPr>
                <w:rFonts w:ascii="Arial" w:cs="Arial" w:eastAsia="Arial" w:hAnsi="Arial"/>
                <w:sz w:val="18"/>
                <w:szCs w:val="18"/>
                <w:b w:val="1"/>
                <w:bCs w:val="1"/>
                <w:color w:val="auto"/>
              </w:rPr>
              <w:t>Independent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 / 10</w:t>
            </w:r>
          </w:p>
        </w:tc>
      </w:tr>
      <w:tr>
        <w:trPr>
          <w:trHeight w:val="55"/>
        </w:trPr>
        <w:tc>
          <w:tcPr>
            <w:tcW w:w="33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89"/>
        </w:trPr>
        <w:tc>
          <w:tcPr>
            <w:tcW w:w="3300" w:type="dxa"/>
            <w:vAlign w:val="bottom"/>
          </w:tcPr>
          <w:p>
            <w:pPr>
              <w:ind w:left="100"/>
              <w:spacing w:after="0"/>
              <w:rPr>
                <w:sz w:val="20"/>
                <w:szCs w:val="20"/>
                <w:color w:val="auto"/>
              </w:rPr>
            </w:pPr>
            <w:r>
              <w:rPr>
                <w:rFonts w:ascii="Arial" w:cs="Arial" w:eastAsia="Arial" w:hAnsi="Arial"/>
                <w:sz w:val="18"/>
                <w:szCs w:val="18"/>
                <w:b w:val="1"/>
                <w:bCs w:val="1"/>
                <w:color w:val="auto"/>
              </w:rPr>
              <w:t>Not Independent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 / 10</w:t>
            </w:r>
          </w:p>
        </w:tc>
      </w:tr>
      <w:tr>
        <w:trPr>
          <w:trHeight w:val="56"/>
        </w:trPr>
        <w:tc>
          <w:tcPr>
            <w:tcW w:w="33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115"/>
        </w:trPr>
        <w:tc>
          <w:tcPr>
            <w:tcW w:w="33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95"/>
        </w:trPr>
        <w:tc>
          <w:tcPr>
            <w:tcW w:w="3300" w:type="dxa"/>
            <w:vAlign w:val="bottom"/>
            <w:shd w:val="clear" w:color="auto" w:fill="000000"/>
          </w:tcPr>
          <w:p>
            <w:pPr>
              <w:ind w:left="100"/>
              <w:spacing w:after="0"/>
              <w:rPr>
                <w:sz w:val="20"/>
                <w:szCs w:val="20"/>
                <w:color w:val="auto"/>
              </w:rPr>
            </w:pPr>
            <w:r>
              <w:rPr>
                <w:rFonts w:ascii="Arial" w:cs="Arial" w:eastAsia="Arial" w:hAnsi="Arial"/>
                <w:sz w:val="18"/>
                <w:szCs w:val="18"/>
                <w:b w:val="1"/>
                <w:bCs w:val="1"/>
                <w:color w:val="FFFFFF"/>
              </w:rPr>
              <w:t>Age of Independent Directors</w:t>
            </w:r>
          </w:p>
        </w:tc>
        <w:tc>
          <w:tcPr>
            <w:tcW w:w="1220" w:type="dxa"/>
            <w:vAlign w:val="bottom"/>
            <w:shd w:val="clear" w:color="auto" w:fill="000000"/>
          </w:tcPr>
          <w:p>
            <w:pPr>
              <w:spacing w:after="0"/>
              <w:rPr>
                <w:sz w:val="24"/>
                <w:szCs w:val="24"/>
                <w:color w:val="auto"/>
              </w:rPr>
            </w:pPr>
          </w:p>
        </w:tc>
      </w:tr>
      <w:tr>
        <w:trPr>
          <w:trHeight w:val="69"/>
        </w:trPr>
        <w:tc>
          <w:tcPr>
            <w:tcW w:w="330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r>
      <w:tr>
        <w:trPr>
          <w:trHeight w:val="295"/>
        </w:trPr>
        <w:tc>
          <w:tcPr>
            <w:tcW w:w="3300" w:type="dxa"/>
            <w:vAlign w:val="bottom"/>
          </w:tcPr>
          <w:p>
            <w:pPr>
              <w:ind w:left="100"/>
              <w:spacing w:after="0"/>
              <w:rPr>
                <w:sz w:val="20"/>
                <w:szCs w:val="20"/>
                <w:color w:val="auto"/>
              </w:rPr>
            </w:pPr>
            <w:r>
              <w:rPr>
                <w:rFonts w:ascii="Arial" w:cs="Arial" w:eastAsia="Arial" w:hAnsi="Arial"/>
                <w:sz w:val="18"/>
                <w:szCs w:val="18"/>
                <w:b w:val="1"/>
                <w:bCs w:val="1"/>
                <w:color w:val="auto"/>
              </w:rPr>
              <w:t>50 – 59 years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 / 8</w:t>
            </w:r>
          </w:p>
        </w:tc>
      </w:tr>
      <w:tr>
        <w:trPr>
          <w:trHeight w:val="56"/>
        </w:trPr>
        <w:tc>
          <w:tcPr>
            <w:tcW w:w="33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89"/>
        </w:trPr>
        <w:tc>
          <w:tcPr>
            <w:tcW w:w="3300" w:type="dxa"/>
            <w:vAlign w:val="bottom"/>
          </w:tcPr>
          <w:p>
            <w:pPr>
              <w:ind w:left="100"/>
              <w:spacing w:after="0"/>
              <w:rPr>
                <w:sz w:val="20"/>
                <w:szCs w:val="20"/>
                <w:color w:val="auto"/>
              </w:rPr>
            </w:pPr>
            <w:r>
              <w:rPr>
                <w:rFonts w:ascii="Arial" w:cs="Arial" w:eastAsia="Arial" w:hAnsi="Arial"/>
                <w:sz w:val="18"/>
                <w:szCs w:val="18"/>
                <w:b w:val="1"/>
                <w:bCs w:val="1"/>
                <w:color w:val="auto"/>
              </w:rPr>
              <w:t>60 – 69 years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 / 8</w:t>
            </w:r>
          </w:p>
        </w:tc>
      </w:tr>
      <w:tr>
        <w:trPr>
          <w:trHeight w:val="56"/>
        </w:trPr>
        <w:tc>
          <w:tcPr>
            <w:tcW w:w="33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89"/>
        </w:trPr>
        <w:tc>
          <w:tcPr>
            <w:tcW w:w="3300" w:type="dxa"/>
            <w:vAlign w:val="bottom"/>
          </w:tcPr>
          <w:p>
            <w:pPr>
              <w:ind w:left="100"/>
              <w:spacing w:after="0"/>
              <w:rPr>
                <w:sz w:val="20"/>
                <w:szCs w:val="20"/>
                <w:color w:val="auto"/>
              </w:rPr>
            </w:pPr>
            <w:r>
              <w:rPr>
                <w:rFonts w:ascii="Arial" w:cs="Arial" w:eastAsia="Arial" w:hAnsi="Arial"/>
                <w:sz w:val="18"/>
                <w:szCs w:val="18"/>
                <w:b w:val="1"/>
                <w:bCs w:val="1"/>
                <w:color w:val="auto"/>
              </w:rPr>
              <w:t>70+ years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 / 8</w:t>
            </w:r>
          </w:p>
        </w:tc>
      </w:tr>
      <w:tr>
        <w:trPr>
          <w:trHeight w:val="55"/>
        </w:trPr>
        <w:tc>
          <w:tcPr>
            <w:tcW w:w="33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bl>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EXECUTIVE COMMITTEE AT-A-GLANCE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Distinct Strengths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Retail &amp; Consumer</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9 / 10</w:t>
            </w:r>
          </w:p>
        </w:tc>
      </w:tr>
      <w:tr>
        <w:trPr>
          <w:trHeight w:val="150"/>
        </w:trPr>
        <w:tc>
          <w:tcPr>
            <w:tcW w:w="3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r>
      <w:tr>
        <w:trPr>
          <w:trHeight w:val="383"/>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International</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 / 10</w:t>
            </w:r>
          </w:p>
        </w:tc>
      </w:tr>
      <w:tr>
        <w:trPr>
          <w:trHeight w:val="150"/>
        </w:trPr>
        <w:tc>
          <w:tcPr>
            <w:tcW w:w="3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r>
      <w:tr>
        <w:trPr>
          <w:trHeight w:val="370"/>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Technology</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8 / 10</w:t>
            </w:r>
          </w:p>
        </w:tc>
      </w:tr>
      <w:tr>
        <w:trPr>
          <w:trHeight w:val="150"/>
        </w:trPr>
        <w:tc>
          <w:tcPr>
            <w:tcW w:w="3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r>
      <w:tr>
        <w:trPr>
          <w:trHeight w:val="410"/>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CEO Experience</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 / 10</w:t>
            </w:r>
          </w:p>
        </w:tc>
      </w:tr>
      <w:tr>
        <w:trPr>
          <w:trHeight w:val="177"/>
        </w:trPr>
        <w:tc>
          <w:tcPr>
            <w:tcW w:w="36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r>
      <w:tr>
        <w:trPr>
          <w:trHeight w:val="370"/>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Financial Expertise</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 / 10</w:t>
            </w:r>
          </w:p>
        </w:tc>
      </w:tr>
      <w:tr>
        <w:trPr>
          <w:trHeight w:val="150"/>
        </w:trPr>
        <w:tc>
          <w:tcPr>
            <w:tcW w:w="3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r>
      <w:tr>
        <w:trPr>
          <w:trHeight w:val="370"/>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Business to Business</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 / 10</w:t>
            </w:r>
          </w:p>
        </w:tc>
      </w:tr>
      <w:tr>
        <w:trPr>
          <w:trHeight w:val="150"/>
        </w:trPr>
        <w:tc>
          <w:tcPr>
            <w:tcW w:w="3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r>
      <w:tr>
        <w:trPr>
          <w:trHeight w:val="370"/>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Supply Chain</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 / 10</w:t>
            </w:r>
          </w:p>
        </w:tc>
      </w:tr>
      <w:tr>
        <w:trPr>
          <w:trHeight w:val="150"/>
        </w:trPr>
        <w:tc>
          <w:tcPr>
            <w:tcW w:w="3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r>
      <w:tr>
        <w:trPr>
          <w:trHeight w:val="329"/>
        </w:trPr>
        <w:tc>
          <w:tcPr>
            <w:tcW w:w="3600" w:type="dxa"/>
            <w:vAlign w:val="bottom"/>
          </w:tcPr>
          <w:p>
            <w:pPr>
              <w:ind w:left="940"/>
              <w:spacing w:after="0"/>
              <w:rPr>
                <w:sz w:val="20"/>
                <w:szCs w:val="20"/>
                <w:color w:val="auto"/>
              </w:rPr>
            </w:pPr>
            <w:r>
              <w:rPr>
                <w:rFonts w:ascii="Arial" w:cs="Arial" w:eastAsia="Arial" w:hAnsi="Arial"/>
                <w:sz w:val="18"/>
                <w:szCs w:val="18"/>
                <w:b w:val="1"/>
                <w:bCs w:val="1"/>
                <w:color w:val="auto"/>
              </w:rPr>
              <w:t>Human Capital Management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8 / 10</w:t>
            </w:r>
          </w:p>
        </w:tc>
      </w:tr>
      <w:tr>
        <w:trPr>
          <w:trHeight w:val="96"/>
        </w:trPr>
        <w:tc>
          <w:tcPr>
            <w:tcW w:w="3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Tenure of Independent Directors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0-5 Years</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3 / 8</w:t>
            </w:r>
          </w:p>
        </w:tc>
      </w:tr>
      <w:tr>
        <w:trPr>
          <w:trHeight w:val="56"/>
        </w:trPr>
        <w:tc>
          <w:tcPr>
            <w:tcW w:w="250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r>
      <w:tr>
        <w:trPr>
          <w:trHeight w:val="289"/>
        </w:trPr>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6-10 Years</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2 / 8</w:t>
            </w:r>
          </w:p>
        </w:tc>
      </w:tr>
      <w:tr>
        <w:trPr>
          <w:trHeight w:val="56"/>
        </w:trPr>
        <w:tc>
          <w:tcPr>
            <w:tcW w:w="250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r>
      <w:tr>
        <w:trPr>
          <w:trHeight w:val="289"/>
        </w:trPr>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11-15 Years</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1 / 8</w:t>
            </w:r>
          </w:p>
        </w:tc>
      </w:tr>
      <w:tr>
        <w:trPr>
          <w:trHeight w:val="55"/>
        </w:trPr>
        <w:tc>
          <w:tcPr>
            <w:tcW w:w="250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r>
      <w:tr>
        <w:trPr>
          <w:trHeight w:val="289"/>
        </w:trPr>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16+ Years</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2 / 8</w:t>
            </w:r>
          </w:p>
        </w:tc>
      </w:tr>
      <w:tr>
        <w:trPr>
          <w:trHeight w:val="55"/>
        </w:trPr>
        <w:tc>
          <w:tcPr>
            <w:tcW w:w="250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r>
    </w:tbl>
    <w:p>
      <w:pPr>
        <w:spacing w:after="0" w:line="454" w:lineRule="exact"/>
        <w:rPr>
          <w:sz w:val="20"/>
          <w:szCs w:val="20"/>
          <w:color w:val="auto"/>
        </w:rPr>
      </w:pPr>
    </w:p>
    <w:p>
      <w:pPr>
        <w:sectPr>
          <w:pgSz w:w="11900" w:h="16838" w:orient="portrait"/>
          <w:cols w:equalWidth="0" w:num="2">
            <w:col w:w="5260" w:space="720"/>
            <w:col w:w="4380"/>
          </w:cols>
          <w:pgMar w:left="440" w:top="108" w:right="1099" w:bottom="1440" w:gutter="0" w:footer="0" w:header="0"/>
          <w:type w:val="continuous"/>
        </w:sectPr>
      </w:pPr>
    </w:p>
    <w:p>
      <w:pPr>
        <w:ind w:left="640"/>
        <w:spacing w:after="0" w:line="247" w:lineRule="auto"/>
        <w:rPr>
          <w:sz w:val="20"/>
          <w:szCs w:val="20"/>
          <w:color w:val="auto"/>
        </w:rPr>
      </w:pPr>
      <w:r>
        <w:rPr>
          <w:rFonts w:ascii="Arial" w:cs="Arial" w:eastAsia="Arial" w:hAnsi="Arial"/>
          <w:sz w:val="18"/>
          <w:szCs w:val="18"/>
          <w:color w:val="202124"/>
        </w:rPr>
        <w:t>AutoZone is committed to continuing to build a diverse organization that represents our customers and the communities in which we serve, because when our store teams mirror the communities they serve, we perform better. This commitment to diversity begins at the top, and we are proud of the quality, strength, experience, tenure and racial, ethnic and gender diversity of both our Board and our Executive Committee.</w:t>
      </w:r>
    </w:p>
    <w:p>
      <w:pPr>
        <w:spacing w:after="0" w:line="160" w:lineRule="exact"/>
        <w:rPr>
          <w:sz w:val="20"/>
          <w:szCs w:val="20"/>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F37F00"/>
        </w:rPr>
        <w:t>DIVERSITY</w:t>
      </w:r>
      <w:r>
        <w:rPr>
          <w:sz w:val="20"/>
          <w:szCs w:val="20"/>
          <w:color w:val="auto"/>
        </w:rPr>
        <w:tab/>
      </w:r>
      <w:r>
        <w:rPr>
          <w:rFonts w:ascii="Arial" w:cs="Arial" w:eastAsia="Arial" w:hAnsi="Arial"/>
          <w:sz w:val="18"/>
          <w:szCs w:val="18"/>
          <w:b w:val="1"/>
          <w:bCs w:val="1"/>
          <w:color w:val="F37F00"/>
        </w:rPr>
        <w:t>TENURE</w:t>
      </w:r>
    </w:p>
    <w:p>
      <w:pPr>
        <w:spacing w:after="0" w:line="55" w:lineRule="exact"/>
        <w:rPr>
          <w:sz w:val="20"/>
          <w:szCs w:val="20"/>
          <w:color w:val="auto"/>
        </w:rPr>
      </w:pPr>
    </w:p>
    <w:tbl>
      <w:tblPr>
        <w:tblLayout w:type="fixed"/>
        <w:tblInd w:w="2440" w:type="dxa"/>
        <w:tblCellMar>
          <w:top w:w="0" w:type="dxa"/>
          <w:left w:w="0" w:type="dxa"/>
          <w:bottom w:w="0" w:type="dxa"/>
          <w:right w:w="0" w:type="dxa"/>
        </w:tblCellMar>
      </w:tblPr>
      <w:tr>
        <w:trPr>
          <w:trHeight w:val="356"/>
        </w:trPr>
        <w:tc>
          <w:tcPr>
            <w:tcW w:w="1620" w:type="dxa"/>
            <w:vAlign w:val="bottom"/>
          </w:tcPr>
          <w:p>
            <w:pPr>
              <w:spacing w:after="0"/>
              <w:rPr>
                <w:sz w:val="20"/>
                <w:szCs w:val="20"/>
                <w:color w:val="auto"/>
              </w:rPr>
            </w:pPr>
            <w:r>
              <w:rPr>
                <w:rFonts w:ascii="Arial" w:cs="Arial" w:eastAsia="Arial" w:hAnsi="Arial"/>
                <w:sz w:val="14"/>
                <w:szCs w:val="14"/>
                <w:b w:val="1"/>
                <w:bCs w:val="1"/>
                <w:color w:val="auto"/>
              </w:rPr>
              <w:t xml:space="preserve">Female: </w:t>
            </w:r>
            <w:r>
              <w:rPr>
                <w:rFonts w:ascii="Arial" w:cs="Arial" w:eastAsia="Arial" w:hAnsi="Arial"/>
                <w:sz w:val="26"/>
                <w:szCs w:val="26"/>
                <w:color w:val="auto"/>
              </w:rPr>
              <w:t>●●●●●</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 xml:space="preserve">0-10 Years: </w:t>
            </w:r>
            <w:r>
              <w:rPr>
                <w:rFonts w:ascii="Arial" w:cs="Arial" w:eastAsia="Arial" w:hAnsi="Arial"/>
                <w:sz w:val="26"/>
                <w:szCs w:val="26"/>
                <w:color w:val="auto"/>
              </w:rPr>
              <w:t>●●●●●●●</w:t>
            </w:r>
          </w:p>
        </w:tc>
        <w:tc>
          <w:tcPr>
            <w:tcW w:w="0" w:type="dxa"/>
            <w:vAlign w:val="bottom"/>
          </w:tcPr>
          <w:p>
            <w:pPr>
              <w:spacing w:after="0"/>
              <w:rPr>
                <w:sz w:val="1"/>
                <w:szCs w:val="1"/>
                <w:color w:val="auto"/>
              </w:rPr>
            </w:pPr>
          </w:p>
        </w:tc>
      </w:tr>
      <w:tr>
        <w:trPr>
          <w:trHeight w:val="392"/>
        </w:trPr>
        <w:tc>
          <w:tcPr>
            <w:tcW w:w="1620" w:type="dxa"/>
            <w:vAlign w:val="bottom"/>
          </w:tcPr>
          <w:p>
            <w:pPr>
              <w:spacing w:after="0"/>
              <w:rPr>
                <w:sz w:val="20"/>
                <w:szCs w:val="20"/>
                <w:color w:val="auto"/>
              </w:rPr>
            </w:pPr>
            <w:r>
              <w:rPr>
                <w:rFonts w:ascii="Arial" w:cs="Arial" w:eastAsia="Arial" w:hAnsi="Arial"/>
                <w:sz w:val="14"/>
                <w:szCs w:val="14"/>
                <w:b w:val="1"/>
                <w:bCs w:val="1"/>
                <w:color w:val="auto"/>
              </w:rPr>
              <w:t xml:space="preserve">Black: </w:t>
            </w:r>
            <w:r>
              <w:rPr>
                <w:rFonts w:ascii="Arial" w:cs="Arial" w:eastAsia="Arial" w:hAnsi="Arial"/>
                <w:sz w:val="26"/>
                <w:szCs w:val="26"/>
                <w:color w:val="auto"/>
              </w:rPr>
              <w:t>●●</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 xml:space="preserve">11-20 Years: </w:t>
            </w:r>
            <w:r>
              <w:rPr>
                <w:rFonts w:ascii="Arial" w:cs="Arial" w:eastAsia="Arial" w:hAnsi="Arial"/>
                <w:sz w:val="26"/>
                <w:szCs w:val="26"/>
                <w:color w:val="auto"/>
              </w:rPr>
              <w:t>●●</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0"/>
                <w:szCs w:val="20"/>
                <w:color w:val="auto"/>
              </w:rPr>
            </w:pPr>
            <w:r>
              <w:rPr>
                <w:rFonts w:ascii="Arial" w:cs="Arial" w:eastAsia="Arial" w:hAnsi="Arial"/>
                <w:sz w:val="14"/>
                <w:szCs w:val="14"/>
                <w:b w:val="1"/>
                <w:bCs w:val="1"/>
                <w:color w:val="auto"/>
              </w:rPr>
              <w:t xml:space="preserve">Hispanic / Latin: </w:t>
            </w:r>
            <w:r>
              <w:rPr>
                <w:rFonts w:ascii="Arial" w:cs="Arial" w:eastAsia="Arial" w:hAnsi="Arial"/>
                <w:sz w:val="26"/>
                <w:szCs w:val="26"/>
                <w:color w:val="auto"/>
              </w:rPr>
              <w:t>●</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 xml:space="preserve">21+ Years: </w:t>
            </w:r>
            <w:r>
              <w:rPr>
                <w:rFonts w:ascii="Arial" w:cs="Arial" w:eastAsia="Arial" w:hAnsi="Arial"/>
                <w:sz w:val="26"/>
                <w:szCs w:val="26"/>
                <w:color w:val="auto"/>
              </w:rPr>
              <w:t>●●●●●●</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0"/>
                <w:szCs w:val="20"/>
                <w:color w:val="auto"/>
              </w:rPr>
            </w:pPr>
            <w:r>
              <w:rPr>
                <w:rFonts w:ascii="Arial" w:cs="Arial" w:eastAsia="Arial" w:hAnsi="Arial"/>
                <w:sz w:val="14"/>
                <w:szCs w:val="14"/>
                <w:b w:val="1"/>
                <w:bCs w:val="1"/>
                <w:color w:val="auto"/>
              </w:rPr>
              <w:t xml:space="preserve">Two or More Races: </w:t>
            </w:r>
            <w:r>
              <w:rPr>
                <w:rFonts w:ascii="Arial" w:cs="Arial" w:eastAsia="Arial" w:hAnsi="Arial"/>
                <w:sz w:val="26"/>
                <w:szCs w:val="26"/>
                <w:color w:val="auto"/>
              </w:rPr>
              <w:t>●</w:t>
            </w:r>
          </w:p>
        </w:tc>
        <w:tc>
          <w:tcPr>
            <w:tcW w:w="3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Executive Committee Members: 15</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20" w:type="dxa"/>
            <w:vAlign w:val="bottom"/>
          </w:tcPr>
          <w:p>
            <w:pPr>
              <w:jc w:val="right"/>
              <w:spacing w:after="0"/>
              <w:rPr>
                <w:sz w:val="20"/>
                <w:szCs w:val="20"/>
                <w:color w:val="auto"/>
              </w:rPr>
            </w:pPr>
            <w:r>
              <w:rPr>
                <w:rFonts w:ascii="Arial" w:cs="Arial" w:eastAsia="Arial" w:hAnsi="Arial"/>
                <w:sz w:val="18"/>
                <w:szCs w:val="18"/>
                <w:color w:val="202124"/>
              </w:rPr>
              <w:t>5</w:t>
            </w:r>
          </w:p>
        </w:tc>
      </w:tr>
    </w:tbl>
    <w:p>
      <w:pPr>
        <w:sectPr>
          <w:pgSz w:w="11900" w:h="16838" w:orient="portrait"/>
          <w:cols w:equalWidth="0" w:num="1">
            <w:col w:w="10360"/>
          </w:cols>
          <w:pgMar w:left="440" w:top="108" w:right="109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000"/>
        <w:spacing w:after="0"/>
        <w:rPr>
          <w:sz w:val="20"/>
          <w:szCs w:val="20"/>
          <w:color w:val="auto"/>
        </w:rPr>
      </w:pPr>
      <w:r>
        <w:rPr>
          <w:rFonts w:ascii="Arial" w:cs="Arial" w:eastAsia="Arial" w:hAnsi="Arial"/>
          <w:sz w:val="47"/>
          <w:szCs w:val="47"/>
          <w:b w:val="1"/>
          <w:bCs w:val="1"/>
          <w:color w:val="202124"/>
        </w:rPr>
        <w:t>TABLE OF CONTENTS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960" w:type="dxa"/>
            <w:vAlign w:val="bottom"/>
            <w:tcBorders>
              <w:bottom w:val="single" w:sz="8" w:color="F37F00"/>
            </w:tcBorders>
            <w:gridSpan w:val="11"/>
          </w:tcPr>
          <w:p>
            <w:pPr>
              <w:spacing w:after="0"/>
              <w:rPr>
                <w:sz w:val="20"/>
                <w:szCs w:val="20"/>
                <w:color w:val="auto"/>
              </w:rPr>
            </w:pPr>
            <w:r>
              <w:rPr>
                <w:rFonts w:ascii="Arial" w:cs="Arial" w:eastAsia="Arial" w:hAnsi="Arial"/>
                <w:sz w:val="18"/>
                <w:szCs w:val="18"/>
                <w:b w:val="1"/>
                <w:bCs w:val="1"/>
                <w:color w:val="F37F00"/>
                <w:w w:val="99"/>
              </w:rPr>
              <w:t>Corporate Governance</w:t>
            </w:r>
          </w:p>
        </w:tc>
        <w:tc>
          <w:tcPr>
            <w:tcW w:w="5760" w:type="dxa"/>
            <w:vAlign w:val="bottom"/>
            <w:gridSpan w:val="28"/>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F37F00"/>
                <w:w w:val="99"/>
              </w:rPr>
              <w:t>7</w:t>
            </w:r>
          </w:p>
        </w:tc>
      </w:tr>
      <w:tr>
        <w:trPr>
          <w:trHeight w:val="223"/>
        </w:trPr>
        <w:tc>
          <w:tcPr>
            <w:tcW w:w="320" w:type="dxa"/>
            <w:vAlign w:val="bottom"/>
          </w:tcPr>
          <w:p>
            <w:pPr>
              <w:spacing w:after="0"/>
              <w:rPr>
                <w:sz w:val="19"/>
                <w:szCs w:val="19"/>
                <w:color w:val="auto"/>
              </w:rPr>
            </w:pPr>
          </w:p>
        </w:tc>
        <w:tc>
          <w:tcPr>
            <w:tcW w:w="19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Governance Framework</w:t>
            </w:r>
          </w:p>
        </w:tc>
        <w:tc>
          <w:tcPr>
            <w:tcW w:w="5460" w:type="dxa"/>
            <w:vAlign w:val="bottom"/>
            <w:gridSpan w:val="24"/>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color w:val="202124"/>
                <w:w w:val="99"/>
              </w:rPr>
              <w:t>7</w:t>
            </w:r>
          </w:p>
        </w:tc>
      </w:tr>
      <w:tr>
        <w:trPr>
          <w:trHeight w:val="263"/>
        </w:trPr>
        <w:tc>
          <w:tcPr>
            <w:tcW w:w="320" w:type="dxa"/>
            <w:vAlign w:val="bottom"/>
          </w:tcPr>
          <w:p>
            <w:pPr>
              <w:spacing w:after="0"/>
              <w:rPr>
                <w:sz w:val="22"/>
                <w:szCs w:val="22"/>
                <w:color w:val="auto"/>
              </w:rPr>
            </w:pPr>
          </w:p>
        </w:tc>
        <w:tc>
          <w:tcPr>
            <w:tcW w:w="11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Risk Oversight</w:t>
            </w:r>
          </w:p>
        </w:tc>
        <w:tc>
          <w:tcPr>
            <w:tcW w:w="6220" w:type="dxa"/>
            <w:vAlign w:val="bottom"/>
            <w:gridSpan w:val="33"/>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color w:val="202124"/>
                <w:w w:val="99"/>
              </w:rPr>
              <w:t>9</w:t>
            </w:r>
          </w:p>
        </w:tc>
      </w:tr>
      <w:tr>
        <w:trPr>
          <w:trHeight w:val="264"/>
        </w:trPr>
        <w:tc>
          <w:tcPr>
            <w:tcW w:w="320" w:type="dxa"/>
            <w:vAlign w:val="bottom"/>
          </w:tcPr>
          <w:p>
            <w:pPr>
              <w:spacing w:after="0"/>
              <w:rPr>
                <w:sz w:val="22"/>
                <w:szCs w:val="22"/>
                <w:color w:val="auto"/>
              </w:rPr>
            </w:pPr>
          </w:p>
        </w:tc>
        <w:tc>
          <w:tcPr>
            <w:tcW w:w="25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Board and Committee Meetings</w:t>
            </w:r>
          </w:p>
        </w:tc>
        <w:tc>
          <w:tcPr>
            <w:tcW w:w="4860" w:type="dxa"/>
            <w:vAlign w:val="bottom"/>
            <w:gridSpan w:val="14"/>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11</w:t>
            </w:r>
          </w:p>
        </w:tc>
      </w:tr>
      <w:tr>
        <w:trPr>
          <w:trHeight w:val="263"/>
        </w:trPr>
        <w:tc>
          <w:tcPr>
            <w:tcW w:w="320" w:type="dxa"/>
            <w:vAlign w:val="bottom"/>
          </w:tcPr>
          <w:p>
            <w:pPr>
              <w:spacing w:after="0"/>
              <w:rPr>
                <w:sz w:val="22"/>
                <w:szCs w:val="22"/>
                <w:color w:val="auto"/>
              </w:rPr>
            </w:pPr>
          </w:p>
        </w:tc>
        <w:tc>
          <w:tcPr>
            <w:tcW w:w="15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Board Composition</w:t>
            </w:r>
          </w:p>
        </w:tc>
        <w:tc>
          <w:tcPr>
            <w:tcW w:w="5860" w:type="dxa"/>
            <w:vAlign w:val="bottom"/>
            <w:gridSpan w:val="30"/>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13</w:t>
            </w:r>
          </w:p>
        </w:tc>
      </w:tr>
      <w:tr>
        <w:trPr>
          <w:trHeight w:val="263"/>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Director Compensation</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18</w:t>
            </w: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0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Shareholder Engagement</w:t>
            </w:r>
          </w:p>
        </w:tc>
        <w:tc>
          <w:tcPr>
            <w:tcW w:w="5340" w:type="dxa"/>
            <w:vAlign w:val="bottom"/>
            <w:gridSpan w:val="23"/>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21</w:t>
            </w:r>
          </w:p>
        </w:tc>
      </w:tr>
      <w:tr>
        <w:trPr>
          <w:trHeight w:val="263"/>
        </w:trPr>
        <w:tc>
          <w:tcPr>
            <w:tcW w:w="320" w:type="dxa"/>
            <w:vAlign w:val="bottom"/>
          </w:tcPr>
          <w:p>
            <w:pPr>
              <w:spacing w:after="0"/>
              <w:rPr>
                <w:sz w:val="22"/>
                <w:szCs w:val="22"/>
                <w:color w:val="auto"/>
              </w:rPr>
            </w:pPr>
          </w:p>
        </w:tc>
        <w:tc>
          <w:tcPr>
            <w:tcW w:w="21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Related Party Transactions</w:t>
            </w:r>
          </w:p>
        </w:tc>
        <w:tc>
          <w:tcPr>
            <w:tcW w:w="5220" w:type="dxa"/>
            <w:vAlign w:val="bottom"/>
            <w:gridSpan w:val="21"/>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23</w:t>
            </w:r>
          </w:p>
        </w:tc>
      </w:tr>
      <w:tr>
        <w:trPr>
          <w:trHeight w:val="263"/>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Audit Committee Report</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24</w:t>
            </w: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7720" w:type="dxa"/>
            <w:vAlign w:val="bottom"/>
            <w:gridSpan w:val="39"/>
          </w:tcPr>
          <w:p>
            <w:pPr>
              <w:spacing w:after="0"/>
              <w:rPr>
                <w:sz w:val="20"/>
                <w:szCs w:val="20"/>
                <w:color w:val="auto"/>
              </w:rPr>
            </w:pPr>
            <w:r>
              <w:rPr>
                <w:rFonts w:ascii="Arial" w:cs="Arial" w:eastAsia="Arial" w:hAnsi="Arial"/>
                <w:sz w:val="18"/>
                <w:szCs w:val="18"/>
                <w:b w:val="1"/>
                <w:bCs w:val="1"/>
                <w:color w:val="F37F00"/>
              </w:rPr>
              <w:t>The Proposals</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F37F00"/>
                <w:w w:val="99"/>
              </w:rPr>
              <w:t>25</w:t>
            </w:r>
          </w:p>
        </w:tc>
      </w:tr>
      <w:tr>
        <w:trPr>
          <w:trHeight w:val="20"/>
        </w:trPr>
        <w:tc>
          <w:tcPr>
            <w:tcW w:w="320" w:type="dxa"/>
            <w:vAlign w:val="bottom"/>
            <w:shd w:val="clear" w:color="auto" w:fill="F37F00"/>
          </w:tcPr>
          <w:p>
            <w:pPr>
              <w:spacing w:after="0" w:line="20" w:lineRule="exact"/>
              <w:rPr>
                <w:sz w:val="1"/>
                <w:szCs w:val="1"/>
                <w:color w:val="auto"/>
              </w:rPr>
            </w:pPr>
          </w:p>
        </w:tc>
        <w:tc>
          <w:tcPr>
            <w:tcW w:w="380" w:type="dxa"/>
            <w:vAlign w:val="bottom"/>
            <w:shd w:val="clear" w:color="auto" w:fill="F37F00"/>
          </w:tcPr>
          <w:p>
            <w:pPr>
              <w:spacing w:after="0" w:line="20" w:lineRule="exact"/>
              <w:rPr>
                <w:sz w:val="1"/>
                <w:szCs w:val="1"/>
                <w:color w:val="auto"/>
              </w:rPr>
            </w:pPr>
          </w:p>
        </w:tc>
        <w:tc>
          <w:tcPr>
            <w:tcW w:w="440" w:type="dxa"/>
            <w:vAlign w:val="bottom"/>
            <w:shd w:val="clear" w:color="auto" w:fill="F37F00"/>
          </w:tcPr>
          <w:p>
            <w:pPr>
              <w:spacing w:after="0" w:line="20" w:lineRule="exact"/>
              <w:rPr>
                <w:sz w:val="1"/>
                <w:szCs w:val="1"/>
                <w:color w:val="auto"/>
              </w:rPr>
            </w:pPr>
          </w:p>
        </w:tc>
        <w:tc>
          <w:tcPr>
            <w:tcW w:w="100" w:type="dxa"/>
            <w:vAlign w:val="bottom"/>
            <w:shd w:val="clear" w:color="auto" w:fill="F37F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14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b w:val="1"/>
                <w:bCs w:val="1"/>
                <w:color w:val="0000EE"/>
                <w:w w:val="99"/>
              </w:rPr>
              <w:t>Proposal 1 – Election of 10 Directors</w:t>
            </w:r>
          </w:p>
        </w:tc>
        <w:tc>
          <w:tcPr>
            <w:tcW w:w="4260" w:type="dxa"/>
            <w:vAlign w:val="bottom"/>
            <w:gridSpan w:val="7"/>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25</w:t>
            </w:r>
          </w:p>
        </w:tc>
      </w:tr>
      <w:tr>
        <w:trPr>
          <w:trHeight w:val="263"/>
        </w:trPr>
        <w:tc>
          <w:tcPr>
            <w:tcW w:w="320" w:type="dxa"/>
            <w:vAlign w:val="bottom"/>
          </w:tcPr>
          <w:p>
            <w:pPr>
              <w:spacing w:after="0"/>
              <w:rPr>
                <w:sz w:val="22"/>
                <w:szCs w:val="22"/>
                <w:color w:val="auto"/>
              </w:rPr>
            </w:pPr>
          </w:p>
        </w:tc>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Nominees</w:t>
            </w:r>
          </w:p>
        </w:tc>
        <w:tc>
          <w:tcPr>
            <w:tcW w:w="6580" w:type="dxa"/>
            <w:vAlign w:val="bottom"/>
            <w:gridSpan w:val="36"/>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26</w:t>
            </w:r>
          </w:p>
        </w:tc>
      </w:tr>
      <w:tr>
        <w:trPr>
          <w:trHeight w:val="263"/>
        </w:trPr>
        <w:tc>
          <w:tcPr>
            <w:tcW w:w="320" w:type="dxa"/>
            <w:vAlign w:val="bottom"/>
          </w:tcPr>
          <w:p>
            <w:pPr>
              <w:spacing w:after="0"/>
              <w:rPr>
                <w:sz w:val="22"/>
                <w:szCs w:val="22"/>
                <w:color w:val="auto"/>
              </w:rPr>
            </w:pPr>
          </w:p>
        </w:tc>
        <w:tc>
          <w:tcPr>
            <w:tcW w:w="650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b w:val="1"/>
                <w:bCs w:val="1"/>
                <w:color w:val="0000EE"/>
                <w:w w:val="99"/>
              </w:rPr>
              <w:t xml:space="preserve">Proposal 2 </w:t>
            </w:r>
            <w:r>
              <w:rPr>
                <w:rFonts w:ascii="Arial" w:cs="Arial" w:eastAsia="Arial" w:hAnsi="Arial"/>
                <w:sz w:val="18"/>
                <w:szCs w:val="18"/>
                <w:color w:val="0000EE"/>
                <w:w w:val="99"/>
              </w:rPr>
              <w:t>–</w:t>
            </w:r>
            <w:r>
              <w:rPr>
                <w:rFonts w:ascii="Arial" w:cs="Arial" w:eastAsia="Arial" w:hAnsi="Arial"/>
                <w:sz w:val="18"/>
                <w:szCs w:val="18"/>
                <w:b w:val="1"/>
                <w:bCs w:val="1"/>
                <w:color w:val="0000EE"/>
                <w:w w:val="99"/>
              </w:rPr>
              <w:t xml:space="preserve"> Ratification of Independent Registered Public Accounting Firm</w:t>
            </w:r>
          </w:p>
        </w:tc>
        <w:tc>
          <w:tcPr>
            <w:tcW w:w="900" w:type="dxa"/>
            <w:vAlign w:val="bottom"/>
            <w:gridSpan w:val="4"/>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31</w:t>
            </w:r>
          </w:p>
        </w:tc>
      </w:tr>
      <w:tr>
        <w:trPr>
          <w:trHeight w:val="264"/>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Audit and Non-Audit Fees</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32</w:t>
            </w: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4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Audit Committee Pre-Approval</w:t>
            </w:r>
          </w:p>
        </w:tc>
        <w:tc>
          <w:tcPr>
            <w:tcW w:w="4960" w:type="dxa"/>
            <w:vAlign w:val="bottom"/>
            <w:gridSpan w:val="16"/>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32</w:t>
            </w:r>
          </w:p>
        </w:tc>
      </w:tr>
      <w:tr>
        <w:trPr>
          <w:trHeight w:val="263"/>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b w:val="1"/>
                <w:bCs w:val="1"/>
                <w:color w:val="0000EE"/>
              </w:rPr>
              <w:t xml:space="preserve">Proposal 3 </w:t>
            </w:r>
            <w:r>
              <w:rPr>
                <w:rFonts w:ascii="Arial" w:cs="Arial" w:eastAsia="Arial" w:hAnsi="Arial"/>
                <w:sz w:val="18"/>
                <w:szCs w:val="18"/>
                <w:color w:val="0000EE"/>
              </w:rPr>
              <w:t>–</w:t>
            </w:r>
            <w:r>
              <w:rPr>
                <w:rFonts w:ascii="Arial" w:cs="Arial" w:eastAsia="Arial" w:hAnsi="Arial"/>
                <w:sz w:val="18"/>
                <w:szCs w:val="18"/>
                <w:b w:val="1"/>
                <w:bCs w:val="1"/>
                <w:color w:val="0000EE"/>
              </w:rPr>
              <w:t xml:space="preserve"> Advisory Vote on the Compensation of Named Executive Officers</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33</w:t>
            </w: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0" w:type="dxa"/>
            <w:vAlign w:val="bottom"/>
            <w:gridSpan w:val="41"/>
          </w:tcPr>
          <w:p>
            <w:pPr>
              <w:spacing w:after="0"/>
              <w:rPr>
                <w:sz w:val="20"/>
                <w:szCs w:val="20"/>
                <w:color w:val="auto"/>
              </w:rPr>
            </w:pPr>
            <w:r>
              <w:rPr>
                <w:rFonts w:ascii="Arial" w:cs="Arial" w:eastAsia="Arial" w:hAnsi="Arial"/>
                <w:sz w:val="18"/>
                <w:szCs w:val="18"/>
                <w:b w:val="1"/>
                <w:bCs w:val="1"/>
                <w:color w:val="0000EE"/>
              </w:rPr>
              <w:t>Proposal 4 – Approval of AutoZone, Inc.’s Ninth Amended and Restated Employee Stock Purchase</w:t>
            </w: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34</w:t>
            </w:r>
          </w:p>
        </w:tc>
      </w:tr>
      <w:tr>
        <w:trPr>
          <w:trHeight w:val="183"/>
        </w:trPr>
        <w:tc>
          <w:tcPr>
            <w:tcW w:w="320" w:type="dxa"/>
            <w:vAlign w:val="bottom"/>
          </w:tcPr>
          <w:p>
            <w:pPr>
              <w:spacing w:after="0"/>
              <w:rPr>
                <w:sz w:val="15"/>
                <w:szCs w:val="15"/>
                <w:color w:val="auto"/>
              </w:rPr>
            </w:pPr>
          </w:p>
        </w:tc>
        <w:tc>
          <w:tcPr>
            <w:tcW w:w="7400" w:type="dxa"/>
            <w:vAlign w:val="bottom"/>
            <w:tcBorders>
              <w:top w:val="single" w:sz="8" w:color="0000EE"/>
            </w:tcBorders>
            <w:gridSpan w:val="38"/>
          </w:tcPr>
          <w:p>
            <w:pPr>
              <w:spacing w:after="0" w:line="182" w:lineRule="exact"/>
              <w:rPr>
                <w:sz w:val="20"/>
                <w:szCs w:val="20"/>
                <w:color w:val="auto"/>
              </w:rPr>
            </w:pPr>
            <w:r>
              <w:rPr>
                <w:rFonts w:ascii="Arial" w:cs="Arial" w:eastAsia="Arial" w:hAnsi="Arial"/>
                <w:sz w:val="18"/>
                <w:szCs w:val="18"/>
                <w:b w:val="1"/>
                <w:bCs w:val="1"/>
                <w:color w:val="0000EE"/>
              </w:rPr>
              <w:t>Plan</w:t>
            </w:r>
          </w:p>
        </w:tc>
        <w:tc>
          <w:tcPr>
            <w:tcW w:w="40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600" w:type="dxa"/>
            <w:vAlign w:val="bottom"/>
            <w:gridSpan w:val="41"/>
          </w:tcPr>
          <w:p>
            <w:pPr>
              <w:spacing w:after="0"/>
              <w:rPr>
                <w:sz w:val="20"/>
                <w:szCs w:val="20"/>
                <w:color w:val="auto"/>
              </w:rPr>
            </w:pPr>
            <w:r>
              <w:rPr>
                <w:rFonts w:ascii="Arial" w:cs="Arial" w:eastAsia="Arial" w:hAnsi="Arial"/>
                <w:sz w:val="18"/>
                <w:szCs w:val="18"/>
                <w:b w:val="1"/>
                <w:bCs w:val="1"/>
                <w:color w:val="0000EE"/>
              </w:rPr>
              <w:t>Proposal 5 – Approval of AutoZone, Inc.’s Seventh Amended and Restated Executive Stock</w:t>
            </w: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37</w:t>
            </w:r>
          </w:p>
        </w:tc>
      </w:tr>
      <w:tr>
        <w:trPr>
          <w:trHeight w:val="183"/>
        </w:trPr>
        <w:tc>
          <w:tcPr>
            <w:tcW w:w="320" w:type="dxa"/>
            <w:vAlign w:val="bottom"/>
          </w:tcPr>
          <w:p>
            <w:pPr>
              <w:spacing w:after="0"/>
              <w:rPr>
                <w:sz w:val="15"/>
                <w:szCs w:val="15"/>
                <w:color w:val="auto"/>
              </w:rPr>
            </w:pPr>
          </w:p>
        </w:tc>
        <w:tc>
          <w:tcPr>
            <w:tcW w:w="7400" w:type="dxa"/>
            <w:vAlign w:val="bottom"/>
            <w:tcBorders>
              <w:top w:val="single" w:sz="8" w:color="0000EE"/>
            </w:tcBorders>
            <w:gridSpan w:val="38"/>
          </w:tcPr>
          <w:p>
            <w:pPr>
              <w:spacing w:after="0" w:line="182" w:lineRule="exact"/>
              <w:rPr>
                <w:sz w:val="20"/>
                <w:szCs w:val="20"/>
                <w:color w:val="auto"/>
              </w:rPr>
            </w:pPr>
            <w:r>
              <w:rPr>
                <w:rFonts w:ascii="Arial" w:cs="Arial" w:eastAsia="Arial" w:hAnsi="Arial"/>
                <w:sz w:val="18"/>
                <w:szCs w:val="18"/>
                <w:b w:val="1"/>
                <w:bCs w:val="1"/>
                <w:color w:val="0000EE"/>
              </w:rPr>
              <w:t>Purchase Plan</w:t>
            </w:r>
          </w:p>
        </w:tc>
        <w:tc>
          <w:tcPr>
            <w:tcW w:w="400" w:type="dxa"/>
            <w:vAlign w:val="bottom"/>
            <w:tcBorders>
              <w:top w:val="single" w:sz="8" w:color="0000EE"/>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3"/>
        </w:trPr>
        <w:tc>
          <w:tcPr>
            <w:tcW w:w="320" w:type="dxa"/>
            <w:vAlign w:val="bottom"/>
          </w:tcPr>
          <w:p>
            <w:pPr>
              <w:spacing w:after="0"/>
              <w:rPr>
                <w:sz w:val="19"/>
                <w:szCs w:val="19"/>
                <w:color w:val="auto"/>
              </w:rPr>
            </w:pPr>
          </w:p>
        </w:tc>
        <w:tc>
          <w:tcPr>
            <w:tcW w:w="12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Other Matters</w:t>
            </w:r>
          </w:p>
        </w:tc>
        <w:tc>
          <w:tcPr>
            <w:tcW w:w="6160" w:type="dxa"/>
            <w:vAlign w:val="bottom"/>
            <w:gridSpan w:val="32"/>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39</w:t>
            </w:r>
          </w:p>
        </w:tc>
      </w:tr>
      <w:tr>
        <w:trPr>
          <w:trHeight w:val="20"/>
        </w:trPr>
        <w:tc>
          <w:tcPr>
            <w:tcW w:w="3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7720" w:type="dxa"/>
            <w:vAlign w:val="bottom"/>
            <w:gridSpan w:val="39"/>
          </w:tcPr>
          <w:p>
            <w:pPr>
              <w:spacing w:after="0"/>
              <w:rPr>
                <w:sz w:val="20"/>
                <w:szCs w:val="20"/>
                <w:color w:val="auto"/>
              </w:rPr>
            </w:pPr>
            <w:r>
              <w:rPr>
                <w:rFonts w:ascii="Arial" w:cs="Arial" w:eastAsia="Arial" w:hAnsi="Arial"/>
                <w:sz w:val="18"/>
                <w:szCs w:val="18"/>
                <w:b w:val="1"/>
                <w:bCs w:val="1"/>
                <w:color w:val="F37F00"/>
              </w:rPr>
              <w:t>Compensation Discussion and Analysis</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F37F00"/>
                <w:w w:val="99"/>
              </w:rPr>
              <w:t>40</w:t>
            </w:r>
          </w:p>
        </w:tc>
      </w:tr>
      <w:tr>
        <w:trPr>
          <w:trHeight w:val="223"/>
        </w:trPr>
        <w:tc>
          <w:tcPr>
            <w:tcW w:w="320" w:type="dxa"/>
            <w:vAlign w:val="bottom"/>
            <w:tcBorders>
              <w:top w:val="single" w:sz="8" w:color="F37F00"/>
            </w:tcBorders>
          </w:tcPr>
          <w:p>
            <w:pPr>
              <w:spacing w:after="0"/>
              <w:rPr>
                <w:sz w:val="19"/>
                <w:szCs w:val="19"/>
                <w:color w:val="auto"/>
              </w:rPr>
            </w:pPr>
          </w:p>
        </w:tc>
        <w:tc>
          <w:tcPr>
            <w:tcW w:w="2680" w:type="dxa"/>
            <w:vAlign w:val="bottom"/>
            <w:tcBorders>
              <w:top w:val="single" w:sz="8" w:color="F37F00"/>
              <w:bottom w:val="single" w:sz="8" w:color="0000EE"/>
            </w:tcBorders>
            <w:gridSpan w:val="26"/>
          </w:tcPr>
          <w:p>
            <w:pPr>
              <w:spacing w:after="0"/>
              <w:rPr>
                <w:sz w:val="20"/>
                <w:szCs w:val="20"/>
                <w:color w:val="auto"/>
              </w:rPr>
            </w:pPr>
            <w:r>
              <w:rPr>
                <w:rFonts w:ascii="Arial" w:cs="Arial" w:eastAsia="Arial" w:hAnsi="Arial"/>
                <w:sz w:val="18"/>
                <w:szCs w:val="18"/>
                <w:color w:val="0000EE"/>
                <w:w w:val="99"/>
              </w:rPr>
              <w:t>Compensation Committee Report</w:t>
            </w:r>
          </w:p>
        </w:tc>
        <w:tc>
          <w:tcPr>
            <w:tcW w:w="420" w:type="dxa"/>
            <w:vAlign w:val="bottom"/>
            <w:tcBorders>
              <w:top w:val="single" w:sz="8" w:color="F37F00"/>
            </w:tcBorders>
            <w:gridSpan w:val="4"/>
          </w:tcPr>
          <w:p>
            <w:pPr>
              <w:spacing w:after="0"/>
              <w:rPr>
                <w:sz w:val="19"/>
                <w:szCs w:val="19"/>
                <w:color w:val="auto"/>
              </w:rPr>
            </w:pPr>
          </w:p>
        </w:tc>
        <w:tc>
          <w:tcPr>
            <w:tcW w:w="4300" w:type="dxa"/>
            <w:vAlign w:val="bottom"/>
            <w:gridSpan w:val="8"/>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40</w:t>
            </w:r>
          </w:p>
        </w:tc>
      </w:tr>
      <w:tr>
        <w:trPr>
          <w:trHeight w:val="263"/>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Executive Summary</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41</w:t>
            </w:r>
          </w:p>
        </w:tc>
      </w:tr>
      <w:tr>
        <w:trPr>
          <w:trHeight w:val="20"/>
        </w:trPr>
        <w:tc>
          <w:tcPr>
            <w:tcW w:w="32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1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Compensation Framework</w:t>
            </w:r>
          </w:p>
        </w:tc>
        <w:tc>
          <w:tcPr>
            <w:tcW w:w="5280" w:type="dxa"/>
            <w:vAlign w:val="bottom"/>
            <w:gridSpan w:val="22"/>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43</w:t>
            </w:r>
          </w:p>
        </w:tc>
      </w:tr>
      <w:tr>
        <w:trPr>
          <w:trHeight w:val="263"/>
        </w:trPr>
        <w:tc>
          <w:tcPr>
            <w:tcW w:w="320" w:type="dxa"/>
            <w:vAlign w:val="bottom"/>
          </w:tcPr>
          <w:p>
            <w:pPr>
              <w:spacing w:after="0"/>
              <w:rPr>
                <w:sz w:val="22"/>
                <w:szCs w:val="22"/>
                <w:color w:val="auto"/>
              </w:rPr>
            </w:pPr>
          </w:p>
        </w:tc>
        <w:tc>
          <w:tcPr>
            <w:tcW w:w="22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Compensation Governance</w:t>
            </w:r>
          </w:p>
        </w:tc>
        <w:tc>
          <w:tcPr>
            <w:tcW w:w="5200" w:type="dxa"/>
            <w:vAlign w:val="bottom"/>
            <w:gridSpan w:val="20"/>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47</w:t>
            </w:r>
          </w:p>
        </w:tc>
      </w:tr>
      <w:tr>
        <w:trPr>
          <w:trHeight w:val="264"/>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Compensation Program Details</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52</w:t>
            </w:r>
          </w:p>
        </w:tc>
      </w:tr>
      <w:tr>
        <w:trPr>
          <w:trHeight w:val="20"/>
        </w:trPr>
        <w:tc>
          <w:tcPr>
            <w:tcW w:w="32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304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9"/>
              </w:rPr>
              <w:t>Other Practices, Policies &amp; Guidelines</w:t>
            </w:r>
          </w:p>
        </w:tc>
        <w:tc>
          <w:tcPr>
            <w:tcW w:w="4360" w:type="dxa"/>
            <w:vAlign w:val="bottom"/>
            <w:gridSpan w:val="9"/>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58</w:t>
            </w:r>
          </w:p>
        </w:tc>
      </w:tr>
      <w:tr>
        <w:trPr>
          <w:trHeight w:val="263"/>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Summary Compensation Table</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62</w:t>
            </w:r>
          </w:p>
        </w:tc>
      </w:tr>
      <w:tr>
        <w:trPr>
          <w:trHeight w:val="264"/>
        </w:trPr>
        <w:tc>
          <w:tcPr>
            <w:tcW w:w="320" w:type="dxa"/>
            <w:vAlign w:val="bottom"/>
          </w:tcPr>
          <w:p>
            <w:pPr>
              <w:spacing w:after="0"/>
              <w:rPr>
                <w:sz w:val="22"/>
                <w:szCs w:val="22"/>
                <w:color w:val="auto"/>
              </w:rPr>
            </w:pPr>
          </w:p>
        </w:tc>
        <w:tc>
          <w:tcPr>
            <w:tcW w:w="238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8"/>
                <w:szCs w:val="18"/>
                <w:color w:val="0000EE"/>
                <w:w w:val="99"/>
              </w:rPr>
              <w:t>Grants of Plan-Based Awards</w:t>
            </w:r>
          </w:p>
        </w:tc>
        <w:tc>
          <w:tcPr>
            <w:tcW w:w="120" w:type="dxa"/>
            <w:vAlign w:val="bottom"/>
            <w:tcBorders>
              <w:top w:val="single" w:sz="8" w:color="0000EE"/>
            </w:tcBorders>
            <w:gridSpan w:val="2"/>
          </w:tcPr>
          <w:p>
            <w:pPr>
              <w:spacing w:after="0"/>
              <w:rPr>
                <w:sz w:val="22"/>
                <w:szCs w:val="22"/>
                <w:color w:val="auto"/>
              </w:rPr>
            </w:pPr>
          </w:p>
        </w:tc>
        <w:tc>
          <w:tcPr>
            <w:tcW w:w="4900" w:type="dxa"/>
            <w:vAlign w:val="bottom"/>
            <w:gridSpan w:val="15"/>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63</w:t>
            </w:r>
          </w:p>
        </w:tc>
      </w:tr>
      <w:tr>
        <w:trPr>
          <w:trHeight w:val="263"/>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Outstanding Equity Awards at Fiscal Year-End</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64</w:t>
            </w:r>
          </w:p>
        </w:tc>
      </w:tr>
      <w:tr>
        <w:trPr>
          <w:trHeight w:val="263"/>
        </w:trPr>
        <w:tc>
          <w:tcPr>
            <w:tcW w:w="320" w:type="dxa"/>
            <w:vAlign w:val="bottom"/>
          </w:tcPr>
          <w:p>
            <w:pPr>
              <w:spacing w:after="0"/>
              <w:rPr>
                <w:sz w:val="22"/>
                <w:szCs w:val="22"/>
                <w:color w:val="auto"/>
              </w:rPr>
            </w:pPr>
          </w:p>
        </w:tc>
        <w:tc>
          <w:tcPr>
            <w:tcW w:w="2820" w:type="dxa"/>
            <w:vAlign w:val="bottom"/>
            <w:tcBorders>
              <w:top w:val="single" w:sz="8" w:color="0000EE"/>
              <w:bottom w:val="single" w:sz="8" w:color="0000EE"/>
            </w:tcBorders>
            <w:gridSpan w:val="27"/>
          </w:tcPr>
          <w:p>
            <w:pPr>
              <w:spacing w:after="0"/>
              <w:rPr>
                <w:sz w:val="20"/>
                <w:szCs w:val="20"/>
                <w:color w:val="auto"/>
              </w:rPr>
            </w:pPr>
            <w:r>
              <w:rPr>
                <w:rFonts w:ascii="Arial" w:cs="Arial" w:eastAsia="Arial" w:hAnsi="Arial"/>
                <w:sz w:val="18"/>
                <w:szCs w:val="18"/>
                <w:color w:val="0000EE"/>
                <w:w w:val="99"/>
              </w:rPr>
              <w:t>Option Exercises and Stock Vested</w:t>
            </w:r>
          </w:p>
        </w:tc>
        <w:tc>
          <w:tcPr>
            <w:tcW w:w="860" w:type="dxa"/>
            <w:vAlign w:val="bottom"/>
            <w:tcBorders>
              <w:top w:val="single" w:sz="8" w:color="0000EE"/>
            </w:tcBorders>
            <w:gridSpan w:val="5"/>
          </w:tcPr>
          <w:p>
            <w:pPr>
              <w:spacing w:after="0"/>
              <w:rPr>
                <w:sz w:val="22"/>
                <w:szCs w:val="22"/>
                <w:color w:val="auto"/>
              </w:rPr>
            </w:pPr>
          </w:p>
        </w:tc>
        <w:tc>
          <w:tcPr>
            <w:tcW w:w="372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65</w:t>
            </w:r>
          </w:p>
        </w:tc>
      </w:tr>
      <w:tr>
        <w:trPr>
          <w:trHeight w:val="264"/>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Nonqualified Deferred Compensation</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65</w:t>
            </w:r>
          </w:p>
        </w:tc>
      </w:tr>
      <w:tr>
        <w:trPr>
          <w:trHeight w:val="20"/>
        </w:trPr>
        <w:tc>
          <w:tcPr>
            <w:tcW w:w="32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4700" w:type="dxa"/>
            <w:vAlign w:val="bottom"/>
            <w:tcBorders>
              <w:bottom w:val="single" w:sz="8" w:color="0000EE"/>
            </w:tcBorders>
            <w:gridSpan w:val="33"/>
          </w:tcPr>
          <w:p>
            <w:pPr>
              <w:spacing w:after="0"/>
              <w:rPr>
                <w:sz w:val="20"/>
                <w:szCs w:val="20"/>
                <w:color w:val="auto"/>
              </w:rPr>
            </w:pPr>
            <w:r>
              <w:rPr>
                <w:rFonts w:ascii="Arial" w:cs="Arial" w:eastAsia="Arial" w:hAnsi="Arial"/>
                <w:sz w:val="18"/>
                <w:szCs w:val="18"/>
                <w:color w:val="0000EE"/>
                <w:w w:val="99"/>
              </w:rPr>
              <w:t>Potential Payments upon Termination or Change in Control</w:t>
            </w:r>
          </w:p>
        </w:tc>
        <w:tc>
          <w:tcPr>
            <w:tcW w:w="2700" w:type="dxa"/>
            <w:vAlign w:val="bottom"/>
            <w:gridSpan w:val="5"/>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66</w:t>
            </w:r>
          </w:p>
        </w:tc>
      </w:tr>
      <w:tr>
        <w:trPr>
          <w:trHeight w:val="263"/>
        </w:trPr>
        <w:tc>
          <w:tcPr>
            <w:tcW w:w="320" w:type="dxa"/>
            <w:vAlign w:val="bottom"/>
          </w:tcPr>
          <w:p>
            <w:pPr>
              <w:spacing w:after="0"/>
              <w:rPr>
                <w:sz w:val="22"/>
                <w:szCs w:val="22"/>
                <w:color w:val="auto"/>
              </w:rPr>
            </w:pPr>
          </w:p>
        </w:tc>
        <w:tc>
          <w:tcPr>
            <w:tcW w:w="16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Pay Ratio Disclosure</w:t>
            </w:r>
          </w:p>
        </w:tc>
        <w:tc>
          <w:tcPr>
            <w:tcW w:w="5720" w:type="dxa"/>
            <w:vAlign w:val="bottom"/>
            <w:gridSpan w:val="27"/>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69</w:t>
            </w:r>
          </w:p>
        </w:tc>
      </w:tr>
      <w:tr>
        <w:trPr>
          <w:trHeight w:val="264"/>
        </w:trPr>
        <w:tc>
          <w:tcPr>
            <w:tcW w:w="7720" w:type="dxa"/>
            <w:vAlign w:val="bottom"/>
            <w:gridSpan w:val="39"/>
          </w:tcPr>
          <w:p>
            <w:pPr>
              <w:spacing w:after="0"/>
              <w:rPr>
                <w:sz w:val="20"/>
                <w:szCs w:val="20"/>
                <w:color w:val="auto"/>
              </w:rPr>
            </w:pPr>
            <w:r>
              <w:rPr>
                <w:rFonts w:ascii="Arial" w:cs="Arial" w:eastAsia="Arial" w:hAnsi="Arial"/>
                <w:sz w:val="18"/>
                <w:szCs w:val="18"/>
                <w:b w:val="1"/>
                <w:bCs w:val="1"/>
                <w:color w:val="F37F00"/>
              </w:rPr>
              <w:t>Share Ownership Information</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F37F00"/>
                <w:w w:val="99"/>
              </w:rPr>
              <w:t>74</w:t>
            </w:r>
          </w:p>
        </w:tc>
      </w:tr>
      <w:tr>
        <w:trPr>
          <w:trHeight w:val="20"/>
        </w:trPr>
        <w:tc>
          <w:tcPr>
            <w:tcW w:w="320" w:type="dxa"/>
            <w:vAlign w:val="bottom"/>
            <w:shd w:val="clear" w:color="auto" w:fill="F37F00"/>
          </w:tcPr>
          <w:p>
            <w:pPr>
              <w:spacing w:after="0" w:line="20" w:lineRule="exact"/>
              <w:rPr>
                <w:sz w:val="1"/>
                <w:szCs w:val="1"/>
                <w:color w:val="auto"/>
              </w:rPr>
            </w:pPr>
          </w:p>
        </w:tc>
        <w:tc>
          <w:tcPr>
            <w:tcW w:w="1400" w:type="dxa"/>
            <w:vAlign w:val="bottom"/>
            <w:gridSpan w:val="7"/>
            <w:shd w:val="clear" w:color="auto" w:fill="F37F00"/>
          </w:tcPr>
          <w:p>
            <w:pPr>
              <w:spacing w:after="0" w:line="20" w:lineRule="exact"/>
              <w:rPr>
                <w:sz w:val="1"/>
                <w:szCs w:val="1"/>
                <w:color w:val="auto"/>
              </w:rPr>
            </w:pPr>
          </w:p>
        </w:tc>
        <w:tc>
          <w:tcPr>
            <w:tcW w:w="660" w:type="dxa"/>
            <w:vAlign w:val="bottom"/>
            <w:gridSpan w:val="8"/>
            <w:shd w:val="clear" w:color="auto" w:fill="F37F00"/>
          </w:tcPr>
          <w:p>
            <w:pPr>
              <w:spacing w:after="0" w:line="20" w:lineRule="exact"/>
              <w:rPr>
                <w:sz w:val="1"/>
                <w:szCs w:val="1"/>
                <w:color w:val="auto"/>
              </w:rPr>
            </w:pPr>
          </w:p>
        </w:tc>
        <w:tc>
          <w:tcPr>
            <w:tcW w:w="140" w:type="dxa"/>
            <w:vAlign w:val="bottom"/>
            <w:gridSpan w:val="3"/>
            <w:shd w:val="clear" w:color="auto" w:fill="F37F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Beneficial Ownership Tables</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74</w:t>
            </w:r>
          </w:p>
        </w:tc>
      </w:tr>
      <w:tr>
        <w:trPr>
          <w:trHeight w:val="263"/>
        </w:trPr>
        <w:tc>
          <w:tcPr>
            <w:tcW w:w="320" w:type="dxa"/>
            <w:vAlign w:val="bottom"/>
          </w:tcPr>
          <w:p>
            <w:pPr>
              <w:spacing w:after="0"/>
              <w:rPr>
                <w:sz w:val="22"/>
                <w:szCs w:val="22"/>
                <w:color w:val="auto"/>
              </w:rPr>
            </w:pPr>
          </w:p>
        </w:tc>
        <w:tc>
          <w:tcPr>
            <w:tcW w:w="222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8"/>
                <w:szCs w:val="18"/>
                <w:color w:val="0000EE"/>
                <w:w w:val="99"/>
              </w:rPr>
              <w:t>Equity Compensation Plans</w:t>
            </w:r>
          </w:p>
        </w:tc>
        <w:tc>
          <w:tcPr>
            <w:tcW w:w="40" w:type="dxa"/>
            <w:vAlign w:val="bottom"/>
            <w:tcBorders>
              <w:top w:val="single" w:sz="8" w:color="0000EE"/>
            </w:tcBorders>
          </w:tcPr>
          <w:p>
            <w:pPr>
              <w:spacing w:after="0"/>
              <w:rPr>
                <w:sz w:val="22"/>
                <w:szCs w:val="22"/>
                <w:color w:val="auto"/>
              </w:rPr>
            </w:pPr>
          </w:p>
        </w:tc>
        <w:tc>
          <w:tcPr>
            <w:tcW w:w="5140" w:type="dxa"/>
            <w:vAlign w:val="bottom"/>
            <w:gridSpan w:val="18"/>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76</w:t>
            </w:r>
          </w:p>
        </w:tc>
      </w:tr>
      <w:tr>
        <w:trPr>
          <w:trHeight w:val="264"/>
        </w:trPr>
        <w:tc>
          <w:tcPr>
            <w:tcW w:w="1720" w:type="dxa"/>
            <w:vAlign w:val="bottom"/>
            <w:tcBorders>
              <w:bottom w:val="single" w:sz="8" w:color="F37F00"/>
            </w:tcBorders>
            <w:gridSpan w:val="8"/>
          </w:tcPr>
          <w:p>
            <w:pPr>
              <w:spacing w:after="0"/>
              <w:rPr>
                <w:sz w:val="20"/>
                <w:szCs w:val="20"/>
                <w:color w:val="auto"/>
              </w:rPr>
            </w:pPr>
            <w:r>
              <w:rPr>
                <w:rFonts w:ascii="Arial" w:cs="Arial" w:eastAsia="Arial" w:hAnsi="Arial"/>
                <w:sz w:val="18"/>
                <w:szCs w:val="18"/>
                <w:b w:val="1"/>
                <w:bCs w:val="1"/>
                <w:color w:val="F37F00"/>
                <w:w w:val="99"/>
              </w:rPr>
              <w:t>General Information</w:t>
            </w:r>
          </w:p>
        </w:tc>
        <w:tc>
          <w:tcPr>
            <w:tcW w:w="6000" w:type="dxa"/>
            <w:vAlign w:val="bottom"/>
            <w:gridSpan w:val="31"/>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F37F00"/>
                <w:w w:val="99"/>
              </w:rPr>
              <w:t>77</w:t>
            </w:r>
          </w:p>
        </w:tc>
      </w:tr>
      <w:tr>
        <w:trPr>
          <w:trHeight w:val="223"/>
        </w:trPr>
        <w:tc>
          <w:tcPr>
            <w:tcW w:w="320" w:type="dxa"/>
            <w:vAlign w:val="bottom"/>
          </w:tcPr>
          <w:p>
            <w:pPr>
              <w:spacing w:after="0"/>
              <w:rPr>
                <w:sz w:val="19"/>
                <w:szCs w:val="19"/>
                <w:color w:val="auto"/>
              </w:rPr>
            </w:pPr>
          </w:p>
        </w:tc>
        <w:tc>
          <w:tcPr>
            <w:tcW w:w="26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Attending and Voting Information</w:t>
            </w:r>
          </w:p>
        </w:tc>
        <w:tc>
          <w:tcPr>
            <w:tcW w:w="4780" w:type="dxa"/>
            <w:vAlign w:val="bottom"/>
            <w:gridSpan w:val="13"/>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77</w:t>
            </w:r>
          </w:p>
        </w:tc>
      </w:tr>
      <w:tr>
        <w:trPr>
          <w:trHeight w:val="264"/>
        </w:trPr>
        <w:tc>
          <w:tcPr>
            <w:tcW w:w="320" w:type="dxa"/>
            <w:vAlign w:val="bottom"/>
          </w:tcPr>
          <w:p>
            <w:pPr>
              <w:spacing w:after="0"/>
              <w:rPr>
                <w:sz w:val="22"/>
                <w:szCs w:val="22"/>
                <w:color w:val="auto"/>
              </w:rPr>
            </w:pPr>
          </w:p>
        </w:tc>
        <w:tc>
          <w:tcPr>
            <w:tcW w:w="7400" w:type="dxa"/>
            <w:vAlign w:val="bottom"/>
            <w:gridSpan w:val="38"/>
          </w:tcPr>
          <w:p>
            <w:pPr>
              <w:spacing w:after="0"/>
              <w:rPr>
                <w:sz w:val="20"/>
                <w:szCs w:val="20"/>
                <w:color w:val="auto"/>
              </w:rPr>
            </w:pPr>
            <w:r>
              <w:rPr>
                <w:rFonts w:ascii="Arial" w:cs="Arial" w:eastAsia="Arial" w:hAnsi="Arial"/>
                <w:sz w:val="18"/>
                <w:szCs w:val="18"/>
                <w:color w:val="0000EE"/>
              </w:rPr>
              <w:t>The 2026 Annual Meeting</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202124"/>
                <w:w w:val="99"/>
              </w:rPr>
              <w:t>80</w:t>
            </w:r>
          </w:p>
        </w:tc>
      </w:tr>
      <w:tr>
        <w:trPr>
          <w:trHeight w:val="20"/>
        </w:trPr>
        <w:tc>
          <w:tcPr>
            <w:tcW w:w="320" w:type="dxa"/>
            <w:vAlign w:val="bottom"/>
          </w:tcPr>
          <w:p>
            <w:pPr>
              <w:spacing w:after="0" w:line="20" w:lineRule="exact"/>
              <w:rPr>
                <w:sz w:val="1"/>
                <w:szCs w:val="1"/>
                <w:color w:val="auto"/>
              </w:rPr>
            </w:pPr>
          </w:p>
        </w:tc>
        <w:tc>
          <w:tcPr>
            <w:tcW w:w="2060" w:type="dxa"/>
            <w:vAlign w:val="bottom"/>
            <w:gridSpan w:val="15"/>
            <w:shd w:val="clear" w:color="auto" w:fill="0000EE"/>
          </w:tcPr>
          <w:p>
            <w:pPr>
              <w:spacing w:after="0" w:line="20" w:lineRule="exact"/>
              <w:rPr>
                <w:sz w:val="1"/>
                <w:szCs w:val="1"/>
                <w:color w:val="auto"/>
              </w:rPr>
            </w:pPr>
          </w:p>
        </w:tc>
        <w:tc>
          <w:tcPr>
            <w:tcW w:w="4900" w:type="dxa"/>
            <w:vAlign w:val="bottom"/>
            <w:gridSpan w:val="2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7280" w:type="dxa"/>
            <w:vAlign w:val="bottom"/>
            <w:tcBorders>
              <w:bottom w:val="single" w:sz="8" w:color="0000EE"/>
            </w:tcBorders>
            <w:gridSpan w:val="37"/>
          </w:tcPr>
          <w:p>
            <w:pPr>
              <w:spacing w:after="0"/>
              <w:rPr>
                <w:sz w:val="20"/>
                <w:szCs w:val="20"/>
                <w:color w:val="auto"/>
              </w:rPr>
            </w:pPr>
            <w:r>
              <w:rPr>
                <w:rFonts w:ascii="Arial" w:cs="Arial" w:eastAsia="Arial" w:hAnsi="Arial"/>
                <w:sz w:val="18"/>
                <w:szCs w:val="18"/>
                <w:color w:val="0000EE"/>
                <w:w w:val="99"/>
              </w:rPr>
              <w:t>Exhibit A — AutoZone, Inc.’s Ninth Amended and Restated Employee Stock Purchase Plan</w:t>
            </w:r>
          </w:p>
        </w:tc>
        <w:tc>
          <w:tcPr>
            <w:tcW w:w="44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202124"/>
              </w:rPr>
              <w:t>A-1</w:t>
            </w:r>
          </w:p>
        </w:tc>
      </w:tr>
      <w:tr>
        <w:trPr>
          <w:trHeight w:val="263"/>
        </w:trPr>
        <w:tc>
          <w:tcPr>
            <w:tcW w:w="7720" w:type="dxa"/>
            <w:vAlign w:val="bottom"/>
            <w:gridSpan w:val="39"/>
          </w:tcPr>
          <w:p>
            <w:pPr>
              <w:spacing w:after="0"/>
              <w:rPr>
                <w:sz w:val="20"/>
                <w:szCs w:val="20"/>
                <w:color w:val="auto"/>
              </w:rPr>
            </w:pPr>
            <w:r>
              <w:rPr>
                <w:rFonts w:ascii="Arial" w:cs="Arial" w:eastAsia="Arial" w:hAnsi="Arial"/>
                <w:sz w:val="18"/>
                <w:szCs w:val="18"/>
                <w:color w:val="0000EE"/>
              </w:rPr>
              <w:t>Exhibit B — AutoZone, Inc.’s Seventh Amended and Restated Executive Stock Purchase Plan</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202124"/>
              </w:rPr>
              <w:t>B-1</w:t>
            </w:r>
          </w:p>
        </w:tc>
      </w:tr>
      <w:tr>
        <w:trPr>
          <w:trHeight w:val="915"/>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202124"/>
              </w:rPr>
              <w:t>6</w:t>
            </w: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ind w:left="220"/>
              <w:spacing w:after="0"/>
              <w:rPr>
                <w:sz w:val="20"/>
                <w:szCs w:val="20"/>
                <w:color w:val="auto"/>
              </w:rPr>
            </w:pPr>
            <w:r>
              <w:rPr>
                <w:rFonts w:ascii="Arial" w:cs="Arial" w:eastAsia="Arial" w:hAnsi="Arial"/>
                <w:sz w:val="18"/>
                <w:szCs w:val="18"/>
                <w:color w:val="202124"/>
                <w:w w:val="98"/>
              </w:rPr>
              <w:t>2026 Proxy Statement</w:t>
            </w:r>
          </w:p>
        </w:tc>
      </w:tr>
    </w:tbl>
    <w:p>
      <w:pPr>
        <w:sectPr>
          <w:pgSz w:w="11900" w:h="16838" w:orient="portrait"/>
          <w:cols w:equalWidth="0" w:num="1">
            <w:col w:w="10360"/>
          </w:cols>
          <w:pgMar w:left="440" w:top="106" w:right="1099" w:bottom="1440" w:gutter="0" w:footer="0" w:header="0"/>
        </w:sectPr>
      </w:pPr>
    </w:p>
    <w:bookmarkStart w:id="9" w:name="page10"/>
    <w:bookmarkEnd w:id="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280"/>
        <w:spacing w:after="0"/>
        <w:rPr>
          <w:sz w:val="20"/>
          <w:szCs w:val="20"/>
          <w:color w:val="auto"/>
        </w:rPr>
      </w:pPr>
      <w:r>
        <w:rPr>
          <w:rFonts w:ascii="Arial" w:cs="Arial" w:eastAsia="Arial" w:hAnsi="Arial"/>
          <w:sz w:val="47"/>
          <w:szCs w:val="47"/>
          <w:b w:val="1"/>
          <w:bCs w:val="1"/>
          <w:color w:val="202124"/>
        </w:rPr>
        <w:t>CORPORATE GOVERNANCE</w:t>
      </w:r>
    </w:p>
    <w:p>
      <w:pPr>
        <w:spacing w:after="0" w:line="155" w:lineRule="exact"/>
        <w:rPr>
          <w:sz w:val="20"/>
          <w:szCs w:val="20"/>
          <w:color w:val="auto"/>
        </w:rPr>
      </w:pPr>
    </w:p>
    <w:p>
      <w:pPr>
        <w:ind w:left="640" w:right="40"/>
        <w:spacing w:after="0" w:line="247" w:lineRule="auto"/>
        <w:rPr>
          <w:sz w:val="20"/>
          <w:szCs w:val="20"/>
          <w:color w:val="auto"/>
        </w:rPr>
      </w:pPr>
      <w:r>
        <w:rPr>
          <w:rFonts w:ascii="Arial" w:cs="Arial" w:eastAsia="Arial" w:hAnsi="Arial"/>
          <w:sz w:val="18"/>
          <w:szCs w:val="18"/>
          <w:color w:val="202124"/>
        </w:rPr>
        <w:t>AutoZone has a long-standing commitment to promoting the long-term interests of our customers, AutoZoners and stockholders. In furtherance of this commitment, the Board has adopted a comprehensive governance framework to allow it to provide effective oversight and make informed decisions relating to the business, strategy, risk, culture and more. The following section discusses key aspects of our corporate governance structure, principles and practices.</w:t>
      </w:r>
    </w:p>
    <w:p>
      <w:pPr>
        <w:spacing w:after="0" w:line="41"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Governance Framework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LEADERSHIP STRUCTURE</w:t>
      </w:r>
    </w:p>
    <w:p>
      <w:pPr>
        <w:spacing w:after="0" w:line="63" w:lineRule="exact"/>
        <w:rPr>
          <w:sz w:val="20"/>
          <w:szCs w:val="20"/>
          <w:color w:val="auto"/>
        </w:rPr>
      </w:pPr>
    </w:p>
    <w:p>
      <w:pPr>
        <w:ind w:left="640" w:right="160"/>
        <w:spacing w:after="0" w:line="244" w:lineRule="auto"/>
        <w:rPr>
          <w:sz w:val="20"/>
          <w:szCs w:val="20"/>
          <w:color w:val="auto"/>
        </w:rPr>
      </w:pPr>
      <w:r>
        <w:rPr>
          <w:rFonts w:ascii="Arial" w:cs="Arial" w:eastAsia="Arial" w:hAnsi="Arial"/>
          <w:sz w:val="18"/>
          <w:szCs w:val="18"/>
          <w:color w:val="202124"/>
        </w:rPr>
        <w:t>We do not have an express policy on whether the roles of Board Chairman and Chief Executive Officer should be combined or separated. Instead, the Board prefers to maintain the flexibility to determine which leadership structure best serves the interests of our stockholders. If the positions of the Chairman of the Board and CEO are held by the same person, or if the Chairman is not determined to be independent of AutoZone, then the Board will select an independent director to serve as the Lead Independent Director.</w:t>
      </w:r>
    </w:p>
    <w:p>
      <w:pPr>
        <w:spacing w:after="0" w:line="68" w:lineRule="exact"/>
        <w:rPr>
          <w:sz w:val="20"/>
          <w:szCs w:val="20"/>
          <w:color w:val="auto"/>
        </w:rPr>
      </w:pPr>
    </w:p>
    <w:p>
      <w:pPr>
        <w:ind w:left="640" w:right="120"/>
        <w:spacing w:after="0" w:line="244" w:lineRule="auto"/>
        <w:rPr>
          <w:sz w:val="20"/>
          <w:szCs w:val="20"/>
          <w:color w:val="auto"/>
        </w:rPr>
      </w:pPr>
      <w:r>
        <w:rPr>
          <w:rFonts w:ascii="Arial" w:cs="Arial" w:eastAsia="Arial" w:hAnsi="Arial"/>
          <w:sz w:val="18"/>
          <w:szCs w:val="18"/>
          <w:color w:val="202124"/>
        </w:rPr>
        <w:t>Currently, our Board believes that having separate roles for our President and CEO and Board Chairman, along with a Lead Independent Director, Independent Committee Chairs, Independent Committee members for all Standing Committees and a substantial majority of Independent Board members provides the best Board structure for AutoZone. We believe this structure, together with our other corporate governance practices, provides strong independent oversight of management while ensuring clear strategic alignment throughout the Company.</w:t>
      </w:r>
    </w:p>
    <w:p>
      <w:pPr>
        <w:spacing w:after="0" w:line="68" w:lineRule="exact"/>
        <w:rPr>
          <w:sz w:val="20"/>
          <w:szCs w:val="20"/>
          <w:color w:val="auto"/>
        </w:rPr>
      </w:pPr>
    </w:p>
    <w:p>
      <w:pPr>
        <w:ind w:left="640" w:right="220"/>
        <w:spacing w:after="0" w:line="247" w:lineRule="auto"/>
        <w:rPr>
          <w:sz w:val="20"/>
          <w:szCs w:val="20"/>
          <w:color w:val="auto"/>
        </w:rPr>
      </w:pPr>
      <w:r>
        <w:rPr>
          <w:rFonts w:ascii="Arial" w:cs="Arial" w:eastAsia="Arial" w:hAnsi="Arial"/>
          <w:sz w:val="18"/>
          <w:szCs w:val="18"/>
          <w:color w:val="202124"/>
        </w:rPr>
        <w:t>The Board has regularly reevaluated this leadership structure as part of the Board evaluation and Board succession planning processes to ensure these important governance matters are considered thoroughly and holistically. As part of this review, the Board approved the transition of Mr. Rhodes from his prior role of Executive Chairman to the role of Chairman, effective January 2026.</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LEAD INDEPENDENT DIRECTOR</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202124"/>
        </w:rPr>
        <w:t>Brian P. Hannasch</w:t>
      </w:r>
    </w:p>
    <w:p>
      <w:pPr>
        <w:spacing w:after="0" w:line="14" w:lineRule="exact"/>
        <w:rPr>
          <w:sz w:val="20"/>
          <w:szCs w:val="20"/>
          <w:color w:val="auto"/>
        </w:rPr>
      </w:pPr>
    </w:p>
    <w:p>
      <w:pPr>
        <w:jc w:val="center"/>
        <w:ind w:left="780"/>
        <w:spacing w:after="0"/>
        <w:rPr>
          <w:sz w:val="20"/>
          <w:szCs w:val="20"/>
          <w:color w:val="auto"/>
        </w:rPr>
      </w:pPr>
      <w:r>
        <w:rPr>
          <w:rFonts w:ascii="Arial" w:cs="Arial" w:eastAsia="Arial" w:hAnsi="Arial"/>
          <w:sz w:val="17"/>
          <w:szCs w:val="17"/>
          <w:b w:val="1"/>
          <w:bCs w:val="1"/>
          <w:color w:val="202124"/>
        </w:rPr>
        <w:t>Lead Independent Director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202124"/>
        </w:rPr>
        <w:t>Our Lead Independent Director is an independent director who is elected by the Board annually. As part of the Board’s commitment to thoughtful and intentional succession planning, our Board elected Brian P. Hannasch to serve as Lead Independent Director in 2025. Our Corporate Governance Principles provide our Lead Independent Director with clearly defined responsibilities as follows:</w:t>
      </w:r>
    </w:p>
    <w:p>
      <w:pPr>
        <w:spacing w:after="0" w:line="28" w:lineRule="exact"/>
        <w:rPr>
          <w:sz w:val="20"/>
          <w:szCs w:val="20"/>
          <w:color w:val="auto"/>
        </w:rPr>
      </w:pPr>
    </w:p>
    <w:p>
      <w:pPr>
        <w:jc w:val="both"/>
        <w:ind w:left="580" w:right="400" w:hanging="323"/>
        <w:spacing w:after="0" w:line="270" w:lineRule="auto"/>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Presides at all executive sessions of the independent directors of the Board (without management present) at every regularly scheduled Board meeting;</w:t>
      </w:r>
    </w:p>
    <w:p>
      <w:pPr>
        <w:spacing w:after="0" w:line="19" w:lineRule="exact"/>
        <w:rPr>
          <w:rFonts w:ascii="Times New Roman" w:cs="Times New Roman" w:eastAsia="Times New Roman" w:hAnsi="Times New Roman"/>
          <w:sz w:val="18"/>
          <w:szCs w:val="18"/>
          <w:color w:val="F37F00"/>
        </w:rPr>
      </w:pPr>
    </w:p>
    <w:p>
      <w:pPr>
        <w:ind w:left="580" w:hanging="323"/>
        <w:spacing w:after="0"/>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Chairs Board meetings when the Chairman is not present;</w:t>
      </w:r>
    </w:p>
    <w:p>
      <w:pPr>
        <w:spacing w:after="0" w:line="75" w:lineRule="exact"/>
        <w:rPr>
          <w:rFonts w:ascii="Times New Roman" w:cs="Times New Roman" w:eastAsia="Times New Roman" w:hAnsi="Times New Roman"/>
          <w:sz w:val="18"/>
          <w:szCs w:val="18"/>
          <w:color w:val="F37F00"/>
        </w:rPr>
      </w:pPr>
    </w:p>
    <w:p>
      <w:pPr>
        <w:ind w:left="580" w:right="580" w:hanging="323"/>
        <w:spacing w:after="0" w:line="270" w:lineRule="auto"/>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Works with management to determine the information and materials to be provided to the Board;</w:t>
      </w:r>
    </w:p>
    <w:p>
      <w:pPr>
        <w:spacing w:after="0" w:line="5" w:lineRule="exact"/>
        <w:rPr>
          <w:rFonts w:ascii="Times New Roman" w:cs="Times New Roman" w:eastAsia="Times New Roman" w:hAnsi="Times New Roman"/>
          <w:sz w:val="18"/>
          <w:szCs w:val="18"/>
          <w:color w:val="F37F00"/>
        </w:rPr>
      </w:pPr>
    </w:p>
    <w:p>
      <w:pPr>
        <w:ind w:left="580" w:right="360" w:hanging="323"/>
        <w:spacing w:after="0" w:line="270" w:lineRule="auto"/>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With the Chairman, approves Board meeting agendas, schedules, and other information to be provided to the Board;</w:t>
      </w:r>
    </w:p>
    <w:p>
      <w:pPr>
        <w:spacing w:after="0" w:line="19" w:lineRule="exact"/>
        <w:rPr>
          <w:rFonts w:ascii="Times New Roman" w:cs="Times New Roman" w:eastAsia="Times New Roman" w:hAnsi="Times New Roman"/>
          <w:sz w:val="18"/>
          <w:szCs w:val="18"/>
          <w:color w:val="F37F00"/>
        </w:rPr>
      </w:pPr>
    </w:p>
    <w:p>
      <w:pPr>
        <w:ind w:left="580" w:right="780" w:hanging="323"/>
        <w:spacing w:after="0" w:line="270" w:lineRule="auto"/>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Consults with the Chairman and the CEO on such other matters as are pertinent to the Board and the Company;</w:t>
      </w:r>
    </w:p>
    <w:p>
      <w:pPr>
        <w:spacing w:after="0" w:line="5" w:lineRule="exact"/>
        <w:rPr>
          <w:rFonts w:ascii="Times New Roman" w:cs="Times New Roman" w:eastAsia="Times New Roman" w:hAnsi="Times New Roman"/>
          <w:sz w:val="18"/>
          <w:szCs w:val="18"/>
          <w:color w:val="F37F00"/>
        </w:rPr>
      </w:pPr>
    </w:p>
    <w:p>
      <w:pPr>
        <w:ind w:left="580" w:hanging="323"/>
        <w:spacing w:after="0"/>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Has the authority to call meetings of the independent directors;</w:t>
      </w:r>
    </w:p>
    <w:p>
      <w:pPr>
        <w:spacing w:after="0" w:line="75" w:lineRule="exact"/>
        <w:rPr>
          <w:rFonts w:ascii="Times New Roman" w:cs="Times New Roman" w:eastAsia="Times New Roman" w:hAnsi="Times New Roman"/>
          <w:sz w:val="18"/>
          <w:szCs w:val="18"/>
          <w:color w:val="F37F00"/>
        </w:rPr>
      </w:pPr>
    </w:p>
    <w:p>
      <w:pPr>
        <w:ind w:left="580" w:right="260" w:hanging="323"/>
        <w:spacing w:after="0" w:line="270" w:lineRule="auto"/>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Is available for direct communication and consultation with stockholders upon reasonable request; and</w:t>
      </w:r>
    </w:p>
    <w:p>
      <w:pPr>
        <w:spacing w:after="0" w:line="19" w:lineRule="exact"/>
        <w:rPr>
          <w:rFonts w:ascii="Times New Roman" w:cs="Times New Roman" w:eastAsia="Times New Roman" w:hAnsi="Times New Roman"/>
          <w:sz w:val="18"/>
          <w:szCs w:val="18"/>
          <w:color w:val="F37F00"/>
        </w:rPr>
      </w:pPr>
    </w:p>
    <w:p>
      <w:pPr>
        <w:ind w:left="580" w:hanging="323"/>
        <w:spacing w:after="0"/>
        <w:tabs>
          <w:tab w:leader="none" w:pos="580" w:val="left"/>
        </w:tabs>
        <w:numPr>
          <w:ilvl w:val="0"/>
          <w:numId w:val="12"/>
        </w:numPr>
        <w:rPr>
          <w:rFonts w:ascii="Times New Roman" w:cs="Times New Roman" w:eastAsia="Times New Roman" w:hAnsi="Times New Roman"/>
          <w:sz w:val="18"/>
          <w:szCs w:val="18"/>
          <w:color w:val="F37F00"/>
        </w:rPr>
      </w:pPr>
      <w:r>
        <w:rPr>
          <w:rFonts w:ascii="Arial" w:cs="Arial" w:eastAsia="Arial" w:hAnsi="Arial"/>
          <w:sz w:val="18"/>
          <w:szCs w:val="18"/>
          <w:color w:val="202124"/>
        </w:rPr>
        <w:t>Serves as a liaison between the Chairman and the independent directors.</w:t>
      </w:r>
    </w:p>
    <w:p>
      <w:pPr>
        <w:spacing w:after="0" w:line="200" w:lineRule="exact"/>
        <w:rPr>
          <w:sz w:val="20"/>
          <w:szCs w:val="20"/>
          <w:color w:val="auto"/>
        </w:rPr>
      </w:pPr>
    </w:p>
    <w:p>
      <w:pPr>
        <w:sectPr>
          <w:pgSz w:w="11900" w:h="16838" w:orient="portrait"/>
          <w:cols w:equalWidth="0" w:num="2">
            <w:col w:w="3060" w:space="300"/>
            <w:col w:w="700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20" w:type="dxa"/>
            <w:vAlign w:val="bottom"/>
          </w:tcPr>
          <w:p>
            <w:pPr>
              <w:jc w:val="right"/>
              <w:spacing w:after="0"/>
              <w:rPr>
                <w:sz w:val="20"/>
                <w:szCs w:val="20"/>
                <w:color w:val="auto"/>
              </w:rPr>
            </w:pPr>
            <w:r>
              <w:rPr>
                <w:rFonts w:ascii="Arial" w:cs="Arial" w:eastAsia="Arial" w:hAnsi="Arial"/>
                <w:sz w:val="18"/>
                <w:szCs w:val="18"/>
                <w:color w:val="202124"/>
              </w:rPr>
              <w:t>7</w:t>
            </w:r>
          </w:p>
        </w:tc>
      </w:tr>
    </w:tbl>
    <w:p>
      <w:pPr>
        <w:sectPr>
          <w:pgSz w:w="11900" w:h="16838" w:orient="portrait"/>
          <w:cols w:equalWidth="0" w:num="1">
            <w:col w:w="10360"/>
          </w:cols>
          <w:pgMar w:left="440" w:top="106" w:right="109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DIRECTOR INDEPENDENCE</w:t>
      </w:r>
    </w:p>
    <w:p>
      <w:pPr>
        <w:spacing w:after="0" w:line="171" w:lineRule="exact"/>
        <w:rPr>
          <w:sz w:val="20"/>
          <w:szCs w:val="20"/>
          <w:color w:val="auto"/>
        </w:rPr>
      </w:pPr>
    </w:p>
    <w:p>
      <w:pPr>
        <w:ind w:left="640" w:right="100"/>
        <w:spacing w:after="0" w:line="244" w:lineRule="auto"/>
        <w:rPr>
          <w:sz w:val="20"/>
          <w:szCs w:val="20"/>
          <w:color w:val="auto"/>
        </w:rPr>
      </w:pPr>
      <w:r>
        <w:rPr>
          <w:rFonts w:ascii="Arial" w:cs="Arial" w:eastAsia="Arial" w:hAnsi="Arial"/>
          <w:sz w:val="18"/>
          <w:szCs w:val="18"/>
          <w:color w:val="202124"/>
        </w:rPr>
        <w:t>As stated in AutoZone’s Corporate Governance Principles, a substantial majority of the Board of Directors should be independent in accordance with the rules of the New York Stock Exchange (“NYSE”). The Board annually assesses each director’s independence after reviewing relevant relationships involving the director and AutoZone. As part of this review, the Nominating and Corporate Governance Committee and the Board considered all such relationships involving AutoZone’s non-employee directors, including the below matters.</w:t>
      </w:r>
    </w:p>
    <w:p>
      <w:pPr>
        <w:spacing w:after="0" w:line="136" w:lineRule="exact"/>
        <w:rPr>
          <w:sz w:val="20"/>
          <w:szCs w:val="20"/>
          <w:color w:val="auto"/>
        </w:rPr>
      </w:pPr>
    </w:p>
    <w:p>
      <w:pPr>
        <w:jc w:val="both"/>
        <w:ind w:left="640" w:right="220"/>
        <w:spacing w:after="0" w:line="275" w:lineRule="auto"/>
        <w:rPr>
          <w:sz w:val="20"/>
          <w:szCs w:val="20"/>
          <w:color w:val="auto"/>
        </w:rPr>
      </w:pPr>
      <w:r>
        <w:rPr>
          <w:rFonts w:ascii="Arial" w:cs="Arial" w:eastAsia="Arial" w:hAnsi="Arial"/>
          <w:sz w:val="17"/>
          <w:szCs w:val="17"/>
          <w:i w:val="1"/>
          <w:iCs w:val="1"/>
          <w:u w:val="single" w:color="auto"/>
          <w:color w:val="202124"/>
        </w:rPr>
        <w:t>Ordinary Course Transactions and Business Relationships</w:t>
      </w:r>
      <w:r>
        <w:rPr>
          <w:rFonts w:ascii="Arial" w:cs="Arial" w:eastAsia="Arial" w:hAnsi="Arial"/>
          <w:sz w:val="17"/>
          <w:szCs w:val="17"/>
          <w:i w:val="1"/>
          <w:iCs w:val="1"/>
          <w:color w:val="202124"/>
        </w:rPr>
        <w:t xml:space="preserve">. </w:t>
      </w:r>
      <w:r>
        <w:rPr>
          <w:rFonts w:ascii="Arial" w:cs="Arial" w:eastAsia="Arial" w:hAnsi="Arial"/>
          <w:sz w:val="17"/>
          <w:szCs w:val="17"/>
          <w:color w:val="202124"/>
        </w:rPr>
        <w:t>The Company routinely procures goods or services from, or</w:t>
      </w:r>
      <w:r>
        <w:rPr>
          <w:rFonts w:ascii="Arial" w:cs="Arial" w:eastAsia="Arial" w:hAnsi="Arial"/>
          <w:sz w:val="17"/>
          <w:szCs w:val="17"/>
          <w:i w:val="1"/>
          <w:iCs w:val="1"/>
          <w:color w:val="202124"/>
        </w:rPr>
        <w:t xml:space="preserve"> </w:t>
      </w:r>
      <w:r>
        <w:rPr>
          <w:rFonts w:ascii="Arial" w:cs="Arial" w:eastAsia="Arial" w:hAnsi="Arial"/>
          <w:sz w:val="17"/>
          <w:szCs w:val="17"/>
          <w:color w:val="202124"/>
        </w:rPr>
        <w:t>sells parts and products to, various entities for which a director or his or her immediate family member may be affiliated. During FY26, all such transactions were conducted in the ordinary course of business and on an arm’s length basis.</w:t>
      </w:r>
    </w:p>
    <w:p>
      <w:pPr>
        <w:spacing w:after="0" w:line="44" w:lineRule="exact"/>
        <w:rPr>
          <w:sz w:val="20"/>
          <w:szCs w:val="20"/>
          <w:color w:val="auto"/>
        </w:rPr>
      </w:pPr>
    </w:p>
    <w:p>
      <w:pPr>
        <w:ind w:left="1320" w:right="360" w:hanging="325"/>
        <w:spacing w:after="0" w:line="270" w:lineRule="auto"/>
        <w:tabs>
          <w:tab w:leader="none" w:pos="1320" w:val="left"/>
        </w:tabs>
        <w:numPr>
          <w:ilvl w:val="0"/>
          <w:numId w:val="13"/>
        </w:numPr>
        <w:rPr>
          <w:rFonts w:ascii="Times New Roman" w:cs="Times New Roman" w:eastAsia="Times New Roman" w:hAnsi="Times New Roman"/>
          <w:sz w:val="18"/>
          <w:szCs w:val="18"/>
          <w:color w:val="F37F00"/>
        </w:rPr>
      </w:pPr>
      <w:r>
        <w:rPr>
          <w:rFonts w:ascii="Arial" w:cs="Arial" w:eastAsia="Arial" w:hAnsi="Arial"/>
          <w:sz w:val="18"/>
          <w:szCs w:val="18"/>
          <w:color w:val="202124"/>
        </w:rPr>
        <w:t>Mr. Hannasch was Special Advisor to the President and Chief Executive Officer of Alimentation Couche-Tard, which operates Circle K convenience stores from which AutoZone purchased miscellaneous goods.</w:t>
      </w:r>
    </w:p>
    <w:p>
      <w:pPr>
        <w:spacing w:after="0" w:line="46" w:lineRule="exact"/>
        <w:rPr>
          <w:rFonts w:ascii="Times New Roman" w:cs="Times New Roman" w:eastAsia="Times New Roman" w:hAnsi="Times New Roman"/>
          <w:sz w:val="18"/>
          <w:szCs w:val="18"/>
          <w:color w:val="F37F00"/>
        </w:rPr>
      </w:pPr>
    </w:p>
    <w:p>
      <w:pPr>
        <w:ind w:left="1320" w:right="220" w:hanging="325"/>
        <w:spacing w:after="0" w:line="270" w:lineRule="auto"/>
        <w:tabs>
          <w:tab w:leader="none" w:pos="1320" w:val="left"/>
        </w:tabs>
        <w:numPr>
          <w:ilvl w:val="0"/>
          <w:numId w:val="13"/>
        </w:numPr>
        <w:rPr>
          <w:rFonts w:ascii="Times New Roman" w:cs="Times New Roman" w:eastAsia="Times New Roman" w:hAnsi="Times New Roman"/>
          <w:sz w:val="18"/>
          <w:szCs w:val="18"/>
          <w:color w:val="F37F00"/>
        </w:rPr>
      </w:pPr>
      <w:r>
        <w:rPr>
          <w:rFonts w:ascii="Arial" w:cs="Arial" w:eastAsia="Arial" w:hAnsi="Arial"/>
          <w:sz w:val="18"/>
          <w:szCs w:val="18"/>
          <w:color w:val="202124"/>
        </w:rPr>
        <w:t>Ms. King is a member of the board of directors of Unum Group from which AutoZone procured group insurance benefits.</w:t>
      </w:r>
    </w:p>
    <w:p>
      <w:pPr>
        <w:spacing w:after="0" w:line="46" w:lineRule="exact"/>
        <w:rPr>
          <w:rFonts w:ascii="Times New Roman" w:cs="Times New Roman" w:eastAsia="Times New Roman" w:hAnsi="Times New Roman"/>
          <w:sz w:val="18"/>
          <w:szCs w:val="18"/>
          <w:color w:val="F37F00"/>
        </w:rPr>
      </w:pPr>
    </w:p>
    <w:p>
      <w:pPr>
        <w:ind w:left="1320" w:right="520" w:hanging="325"/>
        <w:spacing w:after="0" w:line="270" w:lineRule="auto"/>
        <w:tabs>
          <w:tab w:leader="none" w:pos="1320" w:val="left"/>
        </w:tabs>
        <w:numPr>
          <w:ilvl w:val="0"/>
          <w:numId w:val="13"/>
        </w:numPr>
        <w:rPr>
          <w:rFonts w:ascii="Times New Roman" w:cs="Times New Roman" w:eastAsia="Times New Roman" w:hAnsi="Times New Roman"/>
          <w:sz w:val="18"/>
          <w:szCs w:val="18"/>
          <w:color w:val="F37F00"/>
        </w:rPr>
      </w:pPr>
      <w:r>
        <w:rPr>
          <w:rFonts w:ascii="Arial" w:cs="Arial" w:eastAsia="Arial" w:hAnsi="Arial"/>
          <w:sz w:val="18"/>
          <w:szCs w:val="18"/>
          <w:color w:val="202124"/>
        </w:rPr>
        <w:t>Mr. Spas is the CEO of a division of FEMSA. During FY26, FEMSA and/or an affiliate of FEMSA purchased automotive parts and accessories from AutoZone de Mexico.</w:t>
      </w:r>
    </w:p>
    <w:p>
      <w:pPr>
        <w:spacing w:after="0" w:line="46" w:lineRule="exact"/>
        <w:rPr>
          <w:sz w:val="20"/>
          <w:szCs w:val="20"/>
          <w:color w:val="auto"/>
        </w:rPr>
      </w:pPr>
    </w:p>
    <w:p>
      <w:pPr>
        <w:ind w:left="640" w:right="140"/>
        <w:spacing w:after="0" w:line="247" w:lineRule="auto"/>
        <w:rPr>
          <w:sz w:val="20"/>
          <w:szCs w:val="20"/>
          <w:color w:val="auto"/>
        </w:rPr>
      </w:pPr>
      <w:r>
        <w:rPr>
          <w:rFonts w:ascii="Arial" w:cs="Arial" w:eastAsia="Arial" w:hAnsi="Arial"/>
          <w:sz w:val="18"/>
          <w:szCs w:val="18"/>
          <w:i w:val="1"/>
          <w:iCs w:val="1"/>
          <w:u w:val="single" w:color="auto"/>
          <w:color w:val="202124"/>
        </w:rPr>
        <w:t>Current or Prior Employment of Immediate Family Member</w:t>
      </w:r>
      <w:r>
        <w:rPr>
          <w:rFonts w:ascii="Arial" w:cs="Arial" w:eastAsia="Arial" w:hAnsi="Arial"/>
          <w:sz w:val="18"/>
          <w:szCs w:val="18"/>
          <w:i w:val="1"/>
          <w:iCs w:val="1"/>
          <w:color w:val="202124"/>
        </w:rPr>
        <w:t xml:space="preserve">. </w:t>
      </w:r>
      <w:r>
        <w:rPr>
          <w:rFonts w:ascii="Arial" w:cs="Arial" w:eastAsia="Arial" w:hAnsi="Arial"/>
          <w:sz w:val="18"/>
          <w:szCs w:val="18"/>
          <w:color w:val="202124"/>
        </w:rPr>
        <w:t>Directors may have an immediate family member who is an</w:t>
      </w:r>
      <w:r>
        <w:rPr>
          <w:rFonts w:ascii="Arial" w:cs="Arial" w:eastAsia="Arial" w:hAnsi="Arial"/>
          <w:sz w:val="18"/>
          <w:szCs w:val="18"/>
          <w:i w:val="1"/>
          <w:iCs w:val="1"/>
          <w:color w:val="202124"/>
        </w:rPr>
        <w:t xml:space="preserve"> </w:t>
      </w:r>
      <w:r>
        <w:rPr>
          <w:rFonts w:ascii="Arial" w:cs="Arial" w:eastAsia="Arial" w:hAnsi="Arial"/>
          <w:sz w:val="18"/>
          <w:szCs w:val="18"/>
          <w:color w:val="202124"/>
        </w:rPr>
        <w:t>AutoZoner. In FY26, all such employment relationships were in a non-officer capacity and all compensation-related decisions were made in a manner that is consistent with internal practices and policies and designed to avoid conflicts of interest.</w:t>
      </w:r>
    </w:p>
    <w:p>
      <w:pPr>
        <w:spacing w:after="0" w:line="147" w:lineRule="exact"/>
        <w:rPr>
          <w:sz w:val="20"/>
          <w:szCs w:val="20"/>
          <w:color w:val="auto"/>
        </w:rPr>
      </w:pPr>
    </w:p>
    <w:p>
      <w:pPr>
        <w:ind w:left="640" w:right="60"/>
        <w:spacing w:after="0" w:line="247" w:lineRule="auto"/>
        <w:rPr>
          <w:sz w:val="20"/>
          <w:szCs w:val="20"/>
          <w:color w:val="auto"/>
        </w:rPr>
      </w:pPr>
      <w:r>
        <w:rPr>
          <w:rFonts w:ascii="Arial" w:cs="Arial" w:eastAsia="Arial" w:hAnsi="Arial"/>
          <w:sz w:val="18"/>
          <w:szCs w:val="18"/>
          <w:i w:val="1"/>
          <w:iCs w:val="1"/>
          <w:u w:val="single" w:color="auto"/>
          <w:color w:val="202124"/>
        </w:rPr>
        <w:t>Charitable Contributions or Event Sponsorships</w:t>
      </w:r>
      <w:r>
        <w:rPr>
          <w:rFonts w:ascii="Arial" w:cs="Arial" w:eastAsia="Arial" w:hAnsi="Arial"/>
          <w:sz w:val="18"/>
          <w:szCs w:val="18"/>
          <w:i w:val="1"/>
          <w:iCs w:val="1"/>
          <w:color w:val="202124"/>
        </w:rPr>
        <w:t xml:space="preserve">. </w:t>
      </w:r>
      <w:r>
        <w:rPr>
          <w:rFonts w:ascii="Arial" w:cs="Arial" w:eastAsia="Arial" w:hAnsi="Arial"/>
          <w:sz w:val="18"/>
          <w:szCs w:val="18"/>
          <w:color w:val="202124"/>
        </w:rPr>
        <w:t>The Company periodically makes donations to not-for-profit</w:t>
      </w:r>
      <w:r>
        <w:rPr>
          <w:rFonts w:ascii="Arial" w:cs="Arial" w:eastAsia="Arial" w:hAnsi="Arial"/>
          <w:sz w:val="18"/>
          <w:szCs w:val="18"/>
          <w:i w:val="1"/>
          <w:iCs w:val="1"/>
          <w:color w:val="202124"/>
        </w:rPr>
        <w:t xml:space="preserve"> </w:t>
      </w:r>
      <w:r>
        <w:rPr>
          <w:rFonts w:ascii="Arial" w:cs="Arial" w:eastAsia="Arial" w:hAnsi="Arial"/>
          <w:sz w:val="18"/>
          <w:szCs w:val="18"/>
          <w:color w:val="202124"/>
        </w:rPr>
        <w:t>organizations or sponsors events with which Board members or their immediate family members may be affiliated. During FY26, all such contributions were conducted in the ordinary course of business and consistent with AutoZone’s charitable giving guidelines or otherwise in furtherance of a business purpose.</w:t>
      </w:r>
    </w:p>
    <w:p>
      <w:pPr>
        <w:spacing w:after="0" w:line="133" w:lineRule="exact"/>
        <w:rPr>
          <w:sz w:val="20"/>
          <w:szCs w:val="20"/>
          <w:color w:val="auto"/>
        </w:rPr>
      </w:pPr>
    </w:p>
    <w:p>
      <w:pPr>
        <w:ind w:left="640" w:right="40"/>
        <w:spacing w:after="0"/>
        <w:rPr>
          <w:sz w:val="20"/>
          <w:szCs w:val="20"/>
          <w:color w:val="auto"/>
        </w:rPr>
      </w:pPr>
      <w:r>
        <w:rPr>
          <w:rFonts w:ascii="Arial" w:cs="Arial" w:eastAsia="Arial" w:hAnsi="Arial"/>
          <w:sz w:val="18"/>
          <w:szCs w:val="18"/>
          <w:color w:val="202124"/>
        </w:rPr>
        <w:t>As such, the Board concluded that none of these transactions were, individually or cumulatively, material to AutoZone and also did not materially benefit any director, directly or indirectly. Accordingly, the Board affirmatively determined that none of Mses. Goodspeed, King, or Soltau or Messrs. George, Graves, Hannasch, Mrkonic or Spas has a material relationship with the Company other than in their capacities as Board members and that all of them are independent within the meaning of the AutoZone Corporate Governance Principles, the NYSE listing standards and applicable law. The Board also determined that Messrs. Rhodes and Daniele are not independent because Mr. Daniele is a current employee of the Company, and Mr. Rhodes was employed by the Company until the conclusion of his service as Executive Chairman and his transition to Chairman in January of 2026.</w:t>
      </w:r>
    </w:p>
    <w:p>
      <w:pPr>
        <w:spacing w:after="0" w:line="140" w:lineRule="exact"/>
        <w:rPr>
          <w:sz w:val="20"/>
          <w:szCs w:val="20"/>
          <w:color w:val="auto"/>
        </w:rPr>
      </w:pPr>
    </w:p>
    <w:p>
      <w:pPr>
        <w:ind w:left="640" w:right="220"/>
        <w:spacing w:after="0" w:line="253" w:lineRule="auto"/>
        <w:rPr>
          <w:sz w:val="20"/>
          <w:szCs w:val="20"/>
          <w:color w:val="auto"/>
        </w:rPr>
      </w:pPr>
      <w:r>
        <w:rPr>
          <w:rFonts w:ascii="Arial" w:cs="Arial" w:eastAsia="Arial" w:hAnsi="Arial"/>
          <w:sz w:val="18"/>
          <w:szCs w:val="18"/>
          <w:b w:val="1"/>
          <w:bCs w:val="1"/>
          <w:color w:val="F37F00"/>
        </w:rPr>
        <w:t xml:space="preserve">COMMITTEES. </w:t>
      </w:r>
      <w:r>
        <w:rPr>
          <w:rFonts w:ascii="Arial" w:cs="Arial" w:eastAsia="Arial" w:hAnsi="Arial"/>
          <w:sz w:val="18"/>
          <w:szCs w:val="18"/>
          <w:color w:val="202124"/>
        </w:rPr>
        <w:t>AutoZone’s Board has three standing committees, each consisting solely of independent directors—the</w:t>
      </w:r>
      <w:r>
        <w:rPr>
          <w:rFonts w:ascii="Arial" w:cs="Arial" w:eastAsia="Arial" w:hAnsi="Arial"/>
          <w:sz w:val="18"/>
          <w:szCs w:val="18"/>
          <w:b w:val="1"/>
          <w:bCs w:val="1"/>
          <w:color w:val="F37F00"/>
        </w:rPr>
        <w:t xml:space="preserve"> </w:t>
      </w:r>
      <w:r>
        <w:rPr>
          <w:rFonts w:ascii="Arial" w:cs="Arial" w:eastAsia="Arial" w:hAnsi="Arial"/>
          <w:sz w:val="18"/>
          <w:szCs w:val="18"/>
          <w:color w:val="202124"/>
        </w:rPr>
        <w:t>Audit Committee, Compensation Committee and Nominating and Corporate Governance Committee. Additional information about each of the Standing Committees is included below.</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 xml:space="preserve">GOVERNANCE DOCUMENTS. </w:t>
      </w:r>
      <w:r>
        <w:rPr>
          <w:rFonts w:ascii="Arial" w:cs="Arial" w:eastAsia="Arial" w:hAnsi="Arial"/>
          <w:sz w:val="18"/>
          <w:szCs w:val="18"/>
          <w:color w:val="202124"/>
        </w:rPr>
        <w:t>The key governance documents and policies adopted by the Board are:</w:t>
      </w:r>
    </w:p>
    <w:p>
      <w:pPr>
        <w:spacing w:after="0" w:line="171" w:lineRule="exact"/>
        <w:rPr>
          <w:sz w:val="20"/>
          <w:szCs w:val="20"/>
          <w:color w:val="auto"/>
        </w:rPr>
      </w:pPr>
    </w:p>
    <w:p>
      <w:pPr>
        <w:ind w:left="1320" w:hanging="325"/>
        <w:spacing w:after="0"/>
        <w:tabs>
          <w:tab w:leader="none" w:pos="1320" w:val="left"/>
        </w:tabs>
        <w:numPr>
          <w:ilvl w:val="0"/>
          <w:numId w:val="14"/>
        </w:numPr>
        <w:rPr>
          <w:rFonts w:ascii="Times New Roman" w:cs="Times New Roman" w:eastAsia="Times New Roman" w:hAnsi="Times New Roman"/>
          <w:sz w:val="18"/>
          <w:szCs w:val="18"/>
          <w:color w:val="F37F00"/>
        </w:rPr>
      </w:pPr>
      <w:r>
        <w:rPr>
          <w:rFonts w:ascii="Arial" w:cs="Arial" w:eastAsia="Arial" w:hAnsi="Arial"/>
          <w:sz w:val="18"/>
          <w:szCs w:val="18"/>
          <w:color w:val="202124"/>
        </w:rPr>
        <w:t>Corporate Governance Principles;</w:t>
      </w:r>
    </w:p>
    <w:p>
      <w:pPr>
        <w:spacing w:after="0" w:line="116"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14"/>
        </w:numPr>
        <w:rPr>
          <w:rFonts w:ascii="Times New Roman" w:cs="Times New Roman" w:eastAsia="Times New Roman" w:hAnsi="Times New Roman"/>
          <w:sz w:val="18"/>
          <w:szCs w:val="18"/>
          <w:color w:val="F37F00"/>
        </w:rPr>
      </w:pPr>
      <w:r>
        <w:rPr>
          <w:rFonts w:ascii="Arial" w:cs="Arial" w:eastAsia="Arial" w:hAnsi="Arial"/>
          <w:sz w:val="18"/>
          <w:szCs w:val="18"/>
          <w:color w:val="202124"/>
        </w:rPr>
        <w:t>Charters for its Audit, Compensation, and Nominating &amp; Corporate Governance Committees;</w:t>
      </w:r>
    </w:p>
    <w:p>
      <w:pPr>
        <w:spacing w:after="0" w:line="116"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14"/>
        </w:numPr>
        <w:rPr>
          <w:rFonts w:ascii="Times New Roman" w:cs="Times New Roman" w:eastAsia="Times New Roman" w:hAnsi="Times New Roman"/>
          <w:sz w:val="18"/>
          <w:szCs w:val="18"/>
          <w:color w:val="F37F00"/>
        </w:rPr>
      </w:pPr>
      <w:r>
        <w:rPr>
          <w:rFonts w:ascii="Arial" w:cs="Arial" w:eastAsia="Arial" w:hAnsi="Arial"/>
          <w:sz w:val="18"/>
          <w:szCs w:val="18"/>
          <w:color w:val="202124"/>
        </w:rPr>
        <w:t>Code of Conduct for all directors, officers and employees;</w:t>
      </w:r>
    </w:p>
    <w:p>
      <w:pPr>
        <w:spacing w:after="0" w:line="116"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14"/>
        </w:numPr>
        <w:rPr>
          <w:rFonts w:ascii="Times New Roman" w:cs="Times New Roman" w:eastAsia="Times New Roman" w:hAnsi="Times New Roman"/>
          <w:sz w:val="18"/>
          <w:szCs w:val="18"/>
          <w:color w:val="F37F00"/>
        </w:rPr>
      </w:pPr>
      <w:r>
        <w:rPr>
          <w:rFonts w:ascii="Arial" w:cs="Arial" w:eastAsia="Arial" w:hAnsi="Arial"/>
          <w:sz w:val="18"/>
          <w:szCs w:val="18"/>
          <w:color w:val="202124"/>
        </w:rPr>
        <w:t>Code of Ethical Conduct for Financial Executives;</w:t>
      </w:r>
    </w:p>
    <w:p>
      <w:pPr>
        <w:spacing w:after="0" w:line="116"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14"/>
        </w:numPr>
        <w:rPr>
          <w:rFonts w:ascii="Times New Roman" w:cs="Times New Roman" w:eastAsia="Times New Roman" w:hAnsi="Times New Roman"/>
          <w:sz w:val="18"/>
          <w:szCs w:val="18"/>
          <w:color w:val="F37F00"/>
        </w:rPr>
      </w:pPr>
      <w:r>
        <w:rPr>
          <w:rFonts w:ascii="Arial" w:cs="Arial" w:eastAsia="Arial" w:hAnsi="Arial"/>
          <w:sz w:val="18"/>
          <w:szCs w:val="18"/>
          <w:color w:val="202124"/>
        </w:rPr>
        <w:t>Vendor Code of Conduct for suppliers and vendors; and</w:t>
      </w:r>
    </w:p>
    <w:p>
      <w:pPr>
        <w:spacing w:after="0" w:line="116"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14"/>
        </w:numPr>
        <w:rPr>
          <w:rFonts w:ascii="Times New Roman" w:cs="Times New Roman" w:eastAsia="Times New Roman" w:hAnsi="Times New Roman"/>
          <w:sz w:val="18"/>
          <w:szCs w:val="18"/>
          <w:color w:val="F37F00"/>
        </w:rPr>
      </w:pPr>
      <w:r>
        <w:rPr>
          <w:rFonts w:ascii="Arial" w:cs="Arial" w:eastAsia="Arial" w:hAnsi="Arial"/>
          <w:sz w:val="18"/>
          <w:szCs w:val="18"/>
          <w:color w:val="202124"/>
        </w:rPr>
        <w:t>Policy on Political Contributions and Lobbying Engagements.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8    </w:t>
      </w:r>
      <w:r>
        <w:rPr>
          <w:sz w:val="1"/>
          <w:szCs w:val="1"/>
          <w:color w:val="auto"/>
        </w:rPr>
        <w:drawing>
          <wp:inline distT="0" distB="0" distL="0" distR="0">
            <wp:extent cx="116586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11" w:name="page12"/>
    <w:bookmarkEnd w:id="1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40"/>
        <w:spacing w:after="0" w:line="237" w:lineRule="auto"/>
        <w:rPr>
          <w:sz w:val="20"/>
          <w:szCs w:val="20"/>
          <w:color w:val="auto"/>
        </w:rPr>
      </w:pPr>
      <w:r>
        <w:rPr>
          <w:rFonts w:ascii="Arial" w:cs="Arial" w:eastAsia="Arial" w:hAnsi="Arial"/>
          <w:sz w:val="18"/>
          <w:szCs w:val="18"/>
          <w:color w:val="202124"/>
        </w:rPr>
        <w:t>The Board reviews these corporate governance documents and policies annually and revises them when it believes it serves the interests of the Company and its stockholders to do so, such as in response to changing governance practices or legal requirements. For example, in FY2024, following the CEO succession, the Nominating and Corporate Governance Committee, together with input and feedback from all Board members, conducted a thorough review that resulted in certain updates of our Corporate Governance Principles. In FY25, the Board amended AutoZone’s Bylaws to reduce the threshold necessary to call a special meeting of stockholders, consistent with the feedback and majority vote received at our 2024 annual meeting. Also in FY25, the charters of each of the Board’s Standing Committees were reviewed and amended to reflect evolving expectations from investors and other stakeholders. For example, the Audit Committee Charter now states the committee shall oversee the Company’s practices with respect to cybersecurity, information security and service continuity, as well as the steps taken to monitor or mitigate risks in these areas—a practice that was already in effect and has now been memorialized in the charter. Additionally, in 2025, the Board reviewed and updated the Policy on Political Contributions and Lobbying Engagements. Each of these documents is available on the investor relations page on our website at www.autozone.com and is also available, free of charge, in print to any stockholder who requests it.</w:t>
      </w:r>
    </w:p>
    <w:p>
      <w:pPr>
        <w:spacing w:after="0" w:line="149" w:lineRule="exact"/>
        <w:rPr>
          <w:sz w:val="20"/>
          <w:szCs w:val="20"/>
          <w:color w:val="auto"/>
        </w:rPr>
      </w:pPr>
    </w:p>
    <w:p>
      <w:pPr>
        <w:ind w:left="640" w:right="400"/>
        <w:spacing w:after="0" w:line="275" w:lineRule="auto"/>
        <w:rPr>
          <w:sz w:val="20"/>
          <w:szCs w:val="20"/>
          <w:color w:val="auto"/>
        </w:rPr>
      </w:pPr>
      <w:r>
        <w:rPr>
          <w:rFonts w:ascii="Arial" w:cs="Arial" w:eastAsia="Arial" w:hAnsi="Arial"/>
          <w:sz w:val="17"/>
          <w:szCs w:val="17"/>
          <w:b w:val="1"/>
          <w:bCs w:val="1"/>
          <w:color w:val="F37F00"/>
        </w:rPr>
        <w:t xml:space="preserve">CORPORATE RESPONSIBILITY REPORTS. </w:t>
      </w:r>
      <w:r>
        <w:rPr>
          <w:rFonts w:ascii="Arial" w:cs="Arial" w:eastAsia="Arial" w:hAnsi="Arial"/>
          <w:sz w:val="17"/>
          <w:szCs w:val="17"/>
          <w:color w:val="202124"/>
        </w:rPr>
        <w:t>As part of our commitment to continuous improvement and maximizing</w:t>
      </w:r>
      <w:r>
        <w:rPr>
          <w:rFonts w:ascii="Arial" w:cs="Arial" w:eastAsia="Arial" w:hAnsi="Arial"/>
          <w:sz w:val="17"/>
          <w:szCs w:val="17"/>
          <w:b w:val="1"/>
          <w:bCs w:val="1"/>
          <w:color w:val="F37F00"/>
        </w:rPr>
        <w:t xml:space="preserve"> </w:t>
      </w:r>
      <w:r>
        <w:rPr>
          <w:rFonts w:ascii="Arial" w:cs="Arial" w:eastAsia="Arial" w:hAnsi="Arial"/>
          <w:sz w:val="17"/>
          <w:szCs w:val="17"/>
          <w:color w:val="202124"/>
        </w:rPr>
        <w:t>long-term stockholder value, the Company remains committed to corporate responsibility. Our 2026 Corporate Responsibility Report (CRR) is available on our Corporate Responsibility page on our website at www.autozone.com.</w:t>
      </w:r>
    </w:p>
    <w:p>
      <w:pPr>
        <w:spacing w:after="0" w:line="111" w:lineRule="exact"/>
        <w:rPr>
          <w:sz w:val="20"/>
          <w:szCs w:val="20"/>
          <w:color w:val="auto"/>
        </w:rPr>
      </w:pPr>
    </w:p>
    <w:p>
      <w:pPr>
        <w:ind w:left="640" w:right="360"/>
        <w:spacing w:after="0" w:line="253" w:lineRule="auto"/>
        <w:rPr>
          <w:sz w:val="20"/>
          <w:szCs w:val="20"/>
          <w:color w:val="auto"/>
        </w:rPr>
      </w:pPr>
      <w:r>
        <w:rPr>
          <w:rFonts w:ascii="Arial" w:cs="Arial" w:eastAsia="Arial" w:hAnsi="Arial"/>
          <w:sz w:val="18"/>
          <w:szCs w:val="18"/>
          <w:color w:val="202124"/>
        </w:rPr>
        <w:t>Our website and the information contained therein or linked thereto are not intended to be incorporated into this Proxy Statement. Further, our CRR is not, and will not be deemed to be, a part of this Proxy Statement or incorporated by reference herein or into any of our other filings with the SEC.</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Risk Oversight</w:t>
      </w:r>
    </w:p>
    <w:p>
      <w:pPr>
        <w:spacing w:after="0" w:line="192" w:lineRule="exact"/>
        <w:rPr>
          <w:sz w:val="20"/>
          <w:szCs w:val="20"/>
          <w:color w:val="auto"/>
        </w:rPr>
      </w:pPr>
    </w:p>
    <w:p>
      <w:pPr>
        <w:ind w:left="640" w:right="60"/>
        <w:spacing w:after="0" w:line="244" w:lineRule="auto"/>
        <w:rPr>
          <w:sz w:val="20"/>
          <w:szCs w:val="20"/>
          <w:color w:val="auto"/>
        </w:rPr>
      </w:pPr>
      <w:r>
        <w:rPr>
          <w:rFonts w:ascii="Arial" w:cs="Arial" w:eastAsia="Arial" w:hAnsi="Arial"/>
          <w:sz w:val="18"/>
          <w:szCs w:val="18"/>
          <w:color w:val="202124"/>
        </w:rPr>
        <w:t>Oversight of risk management is a responsibility of the Board and is an integral part of the Board’s oversight of AutoZone’s business. The primary responsibility for the identification, assessment and management of the various risks faced by AutoZone resides with AutoZone’s management. The Board is primarily responsible for ensuring that management has established and adequately resourced processes for identifying and preparing the Company to manage risks effectively.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Strategic Planning and Operating Risks</w:t>
      </w:r>
    </w:p>
    <w:p>
      <w:pPr>
        <w:spacing w:after="0" w:line="171" w:lineRule="exact"/>
        <w:rPr>
          <w:sz w:val="20"/>
          <w:szCs w:val="20"/>
          <w:color w:val="auto"/>
        </w:rPr>
      </w:pPr>
    </w:p>
    <w:p>
      <w:pPr>
        <w:ind w:left="640"/>
        <w:spacing w:after="0" w:line="247" w:lineRule="auto"/>
        <w:rPr>
          <w:sz w:val="20"/>
          <w:szCs w:val="20"/>
          <w:color w:val="auto"/>
        </w:rPr>
      </w:pPr>
      <w:r>
        <w:rPr>
          <w:rFonts w:ascii="Arial" w:cs="Arial" w:eastAsia="Arial" w:hAnsi="Arial"/>
          <w:sz w:val="18"/>
          <w:szCs w:val="18"/>
          <w:color w:val="202124"/>
        </w:rPr>
        <w:t>The Board reviews the Company’s principal strategic and operating risks as part of its regular discussion and consideration of AutoZone’s strategy and operating results. The Board also regularly reviews with the General Counsel legal matters that may have a material adverse impact on the Company’s financial statements, the Company’s compliance with laws, and any material reports received from regulatory agencies.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Financial Risks</w:t>
      </w:r>
    </w:p>
    <w:p>
      <w:pPr>
        <w:spacing w:after="0" w:line="185" w:lineRule="exact"/>
        <w:rPr>
          <w:sz w:val="20"/>
          <w:szCs w:val="20"/>
          <w:color w:val="auto"/>
        </w:rPr>
      </w:pPr>
    </w:p>
    <w:p>
      <w:pPr>
        <w:ind w:left="640" w:right="500"/>
        <w:spacing w:after="0" w:line="244" w:lineRule="auto"/>
        <w:rPr>
          <w:sz w:val="20"/>
          <w:szCs w:val="20"/>
          <w:color w:val="auto"/>
        </w:rPr>
      </w:pPr>
      <w:r>
        <w:rPr>
          <w:rFonts w:ascii="Arial" w:cs="Arial" w:eastAsia="Arial" w:hAnsi="Arial"/>
          <w:sz w:val="18"/>
          <w:szCs w:val="18"/>
          <w:color w:val="202124"/>
        </w:rPr>
        <w:t>The Audit Committee plays a key role in the Board’s oversight of risk management. Quarterly, the Audit Committee reviews the Company’s primary risks and the steps management has taken to identify, assess, monitor, mitigate and report such exposures. The Audit Committee, along with management, also evaluates the effectiveness of the risk avoidance and mitigation processes in place and reports its findings to the full Board as part of the Board’s overall consideration of risks facing AutoZone.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20" w:type="dxa"/>
            <w:vAlign w:val="bottom"/>
          </w:tcPr>
          <w:p>
            <w:pPr>
              <w:jc w:val="right"/>
              <w:spacing w:after="0"/>
              <w:rPr>
                <w:sz w:val="20"/>
                <w:szCs w:val="20"/>
                <w:color w:val="auto"/>
              </w:rPr>
            </w:pPr>
            <w:r>
              <w:rPr>
                <w:rFonts w:ascii="Arial" w:cs="Arial" w:eastAsia="Arial" w:hAnsi="Arial"/>
                <w:sz w:val="18"/>
                <w:szCs w:val="18"/>
                <w:color w:val="202124"/>
              </w:rPr>
              <w:t>9</w:t>
            </w:r>
          </w:p>
        </w:tc>
      </w:tr>
    </w:tbl>
    <w:p>
      <w:pPr>
        <w:sectPr>
          <w:pgSz w:w="11900" w:h="16838" w:orient="portrait"/>
          <w:cols w:equalWidth="0" w:num="1">
            <w:col w:w="10360"/>
          </w:cols>
          <w:pgMar w:left="440" w:top="106" w:right="1099" w:bottom="1440" w:gutter="0" w:footer="0" w:header="0"/>
        </w:sectPr>
      </w:pPr>
    </w:p>
    <w:bookmarkStart w:id="12" w:name="page13"/>
    <w:bookmarkEnd w:id="1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Enterprise Risks</w:t>
      </w:r>
    </w:p>
    <w:p>
      <w:pPr>
        <w:spacing w:after="0" w:line="171" w:lineRule="exact"/>
        <w:rPr>
          <w:sz w:val="20"/>
          <w:szCs w:val="20"/>
          <w:color w:val="auto"/>
        </w:rPr>
      </w:pPr>
    </w:p>
    <w:p>
      <w:pPr>
        <w:ind w:left="640" w:right="140"/>
        <w:spacing w:after="0" w:line="239" w:lineRule="auto"/>
        <w:rPr>
          <w:sz w:val="20"/>
          <w:szCs w:val="20"/>
          <w:color w:val="auto"/>
        </w:rPr>
      </w:pPr>
      <w:r>
        <w:rPr>
          <w:rFonts w:ascii="Arial" w:cs="Arial" w:eastAsia="Arial" w:hAnsi="Arial"/>
          <w:sz w:val="18"/>
          <w:szCs w:val="18"/>
          <w:color w:val="202124"/>
        </w:rPr>
        <w:t>To assist with risk management and oversight, AutoZone has adopted the concept of Enterprise Risk Management (“ERM”) using the framework issued in 2004 by the Committee of Sponsoring Organizations of the Treadway Commission. The Company’s Vice President of Internal Audit, who reports directly to the Audit Committee, leads the Company’s ERM processes with the assistance of Company management. The Vice President of Internal Audit presents to the Audit Committee a comprehensive review of the Company’s ERM processes semiannually. This presentation includes an overview of all significant risks that have been identified and assessed and strategies developed by management for managing such risks. The Vice President of Internal Audit leads open discussions with the Audit Committee members to analyze the significance of the risks identified and seeks to verify that the list is all-inclusive. Company management is also involved in these discussions to ensure that the Board gains a full understanding of the risks and strategies that management has implemented to manage the risks.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Cybersecurity and Related Risks</w:t>
      </w:r>
    </w:p>
    <w:p>
      <w:pPr>
        <w:spacing w:after="0" w:line="185" w:lineRule="exact"/>
        <w:rPr>
          <w:sz w:val="20"/>
          <w:szCs w:val="20"/>
          <w:color w:val="auto"/>
        </w:rPr>
      </w:pPr>
    </w:p>
    <w:p>
      <w:pPr>
        <w:ind w:left="640" w:right="20"/>
        <w:spacing w:after="0"/>
        <w:rPr>
          <w:sz w:val="20"/>
          <w:szCs w:val="20"/>
          <w:color w:val="auto"/>
        </w:rPr>
      </w:pPr>
      <w:r>
        <w:rPr>
          <w:rFonts w:ascii="Arial" w:cs="Arial" w:eastAsia="Arial" w:hAnsi="Arial"/>
          <w:sz w:val="18"/>
          <w:szCs w:val="18"/>
          <w:color w:val="202124"/>
        </w:rPr>
        <w:t>The Audit Committee, in connection with its oversight of the Company’s ERM processes described above, reviews and discusses the Company’s cybersecurity risks directly with the Company’s Chief Information Security Officer. Specifically, the Audit Committee reviews the Company’s practices with respect to cybersecurity, information security and service continuity and the steps taken to monitor or mitigate such risks. This review takes place at each routine, quarterly committee meeting and includes a discussion of significant threats, risk mitigation strategies, any information technology (“IT”) security program assessments and identified improvements. Additionally, such matters are included within a broader IT update which is periodically presented to the full Board of Directors.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Corporate Responsibility</w:t>
      </w:r>
    </w:p>
    <w:p>
      <w:pPr>
        <w:spacing w:after="0" w:line="171" w:lineRule="exact"/>
        <w:rPr>
          <w:sz w:val="20"/>
          <w:szCs w:val="20"/>
          <w:color w:val="auto"/>
        </w:rPr>
      </w:pPr>
    </w:p>
    <w:p>
      <w:pPr>
        <w:ind w:left="640" w:right="20"/>
        <w:spacing w:after="0" w:line="239" w:lineRule="auto"/>
        <w:rPr>
          <w:sz w:val="20"/>
          <w:szCs w:val="20"/>
          <w:color w:val="auto"/>
        </w:rPr>
      </w:pPr>
      <w:r>
        <w:rPr>
          <w:rFonts w:ascii="Arial" w:cs="Arial" w:eastAsia="Arial" w:hAnsi="Arial"/>
          <w:sz w:val="18"/>
          <w:szCs w:val="18"/>
          <w:color w:val="202124"/>
        </w:rPr>
        <w:t>The Board exercises its oversight of corporate responsibility matters both as a full Board and through its committees depending on the subject matter. The Nominating and Corporate Governance Committee has primary responsibility for assisting the Board in overseeing human capital management matters, whereas the Compensation Committee oversees the alignment between AutoZone’s compensation programs and human capital management strategy. Environmental risk is currently a matter of shared oversight. For example, reporting of initiatives and goals relating to our greenhouse gas emissions is overseen by the Nominating &amp; Corporate Governance Committee; oversight of environmental-related compliance is overseen by the Audit Committee; and to the extent environmental matters present a strategic risk or opportunity, such issues are overseen by the full Board. Each of the Standing Committees provides updates and feedback on these matters to the full Board for its collective review and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10   </w:t>
      </w:r>
      <w:r>
        <w:rPr>
          <w:sz w:val="1"/>
          <w:szCs w:val="1"/>
          <w:color w:val="auto"/>
        </w:rPr>
        <w:drawing>
          <wp:inline distT="0" distB="0" distL="0" distR="0">
            <wp:extent cx="11658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13" w:name="page14"/>
    <w:bookmarkEnd w:id="1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Board and Committee Meetings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MEETINGS AND ATTENDANCE</w:t>
      </w:r>
    </w:p>
    <w:p>
      <w:pPr>
        <w:spacing w:after="0" w:line="185" w:lineRule="exact"/>
        <w:rPr>
          <w:sz w:val="20"/>
          <w:szCs w:val="20"/>
          <w:color w:val="auto"/>
        </w:rPr>
      </w:pPr>
    </w:p>
    <w:p>
      <w:pPr>
        <w:ind w:left="640" w:right="140"/>
        <w:spacing w:after="0" w:line="244" w:lineRule="auto"/>
        <w:rPr>
          <w:sz w:val="20"/>
          <w:szCs w:val="20"/>
          <w:color w:val="auto"/>
        </w:rPr>
      </w:pPr>
      <w:r>
        <w:rPr>
          <w:rFonts w:ascii="Arial" w:cs="Arial" w:eastAsia="Arial" w:hAnsi="Arial"/>
          <w:sz w:val="18"/>
          <w:szCs w:val="18"/>
          <w:color w:val="202124"/>
        </w:rPr>
        <w:t>During FY26, the Board held 4 meetings. The independent members of our Board meet in executive sessions in conjunction with each regularly scheduled Board meeting, with our Lead Independent Director, Mr. Hannasch, presiding at these sessions. All directors attended at least 75% of the meetings of the Board and their assigned committees during FY26. All directors standing for reelection are expected to attend our annual meetings of stockholders. At our 2025 Annual Meeting, all directors were present.</w:t>
      </w:r>
    </w:p>
    <w:p>
      <w:pPr>
        <w:sectPr>
          <w:pgSz w:w="11900" w:h="16838" w:orient="portrait"/>
          <w:cols w:equalWidth="0" w:num="1">
            <w:col w:w="10360"/>
          </w:cols>
          <w:pgMar w:left="440" w:top="106" w:right="1099" w:bottom="1440" w:gutter="0" w:footer="0" w:header="0"/>
        </w:sectPr>
      </w:pP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AUDIT COMMITTEE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Meetings in FY26: 9</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Members:</w:t>
      </w:r>
    </w:p>
    <w:p>
      <w:pPr>
        <w:spacing w:after="0" w:line="14" w:lineRule="exact"/>
        <w:rPr>
          <w:sz w:val="20"/>
          <w:szCs w:val="20"/>
          <w:color w:val="auto"/>
        </w:rPr>
      </w:pPr>
    </w:p>
    <w:p>
      <w:pPr>
        <w:ind w:left="960" w:right="420" w:hanging="196"/>
        <w:spacing w:after="0" w:line="234" w:lineRule="auto"/>
        <w:tabs>
          <w:tab w:leader="none" w:pos="960" w:val="left"/>
        </w:tabs>
        <w:numPr>
          <w:ilvl w:val="0"/>
          <w:numId w:val="15"/>
        </w:numPr>
        <w:rPr>
          <w:rFonts w:ascii="Times New Roman" w:cs="Times New Roman" w:eastAsia="Times New Roman" w:hAnsi="Times New Roman"/>
          <w:sz w:val="18"/>
          <w:szCs w:val="18"/>
          <w:color w:val="F37F00"/>
        </w:rPr>
      </w:pPr>
      <w:r>
        <w:rPr>
          <w:rFonts w:ascii="Arial" w:cs="Arial" w:eastAsia="Arial" w:hAnsi="Arial"/>
          <w:sz w:val="18"/>
          <w:szCs w:val="18"/>
          <w:color w:val="202124"/>
        </w:rPr>
        <w:t>Linda A. Goodspeed (Chair)</w:t>
      </w:r>
    </w:p>
    <w:p>
      <w:pPr>
        <w:ind w:left="960" w:hanging="196"/>
        <w:spacing w:after="0"/>
        <w:tabs>
          <w:tab w:leader="none" w:pos="960" w:val="left"/>
        </w:tabs>
        <w:numPr>
          <w:ilvl w:val="0"/>
          <w:numId w:val="15"/>
        </w:numPr>
        <w:rPr>
          <w:rFonts w:ascii="Times New Roman" w:cs="Times New Roman" w:eastAsia="Times New Roman" w:hAnsi="Times New Roman"/>
          <w:sz w:val="18"/>
          <w:szCs w:val="18"/>
          <w:color w:val="F37F00"/>
        </w:rPr>
      </w:pPr>
      <w:r>
        <w:rPr>
          <w:rFonts w:ascii="Arial" w:cs="Arial" w:eastAsia="Arial" w:hAnsi="Arial"/>
          <w:sz w:val="18"/>
          <w:szCs w:val="18"/>
          <w:color w:val="202124"/>
        </w:rPr>
        <w:t>Michael A. George</w:t>
      </w:r>
    </w:p>
    <w:p>
      <w:pPr>
        <w:spacing w:after="0" w:line="8" w:lineRule="exact"/>
        <w:rPr>
          <w:rFonts w:ascii="Times New Roman" w:cs="Times New Roman" w:eastAsia="Times New Roman" w:hAnsi="Times New Roman"/>
          <w:sz w:val="18"/>
          <w:szCs w:val="18"/>
          <w:color w:val="F37F00"/>
        </w:rPr>
      </w:pPr>
    </w:p>
    <w:p>
      <w:pPr>
        <w:ind w:left="960" w:hanging="196"/>
        <w:spacing w:after="0"/>
        <w:tabs>
          <w:tab w:leader="none" w:pos="960" w:val="left"/>
        </w:tabs>
        <w:numPr>
          <w:ilvl w:val="0"/>
          <w:numId w:val="15"/>
        </w:numPr>
        <w:rPr>
          <w:rFonts w:ascii="Times New Roman" w:cs="Times New Roman" w:eastAsia="Times New Roman" w:hAnsi="Times New Roman"/>
          <w:sz w:val="18"/>
          <w:szCs w:val="18"/>
          <w:color w:val="F37F00"/>
        </w:rPr>
      </w:pPr>
      <w:r>
        <w:rPr>
          <w:rFonts w:ascii="Arial" w:cs="Arial" w:eastAsia="Arial" w:hAnsi="Arial"/>
          <w:sz w:val="18"/>
          <w:szCs w:val="18"/>
          <w:color w:val="202124"/>
        </w:rPr>
        <w:t>Claire R. McDonough</w:t>
      </w:r>
    </w:p>
    <w:p>
      <w:pPr>
        <w:spacing w:after="0" w:line="8" w:lineRule="exact"/>
        <w:rPr>
          <w:rFonts w:ascii="Times New Roman" w:cs="Times New Roman" w:eastAsia="Times New Roman" w:hAnsi="Times New Roman"/>
          <w:sz w:val="18"/>
          <w:szCs w:val="18"/>
          <w:color w:val="F37F00"/>
        </w:rPr>
      </w:pPr>
    </w:p>
    <w:p>
      <w:pPr>
        <w:ind w:left="960" w:hanging="196"/>
        <w:spacing w:after="0"/>
        <w:tabs>
          <w:tab w:leader="none" w:pos="960" w:val="left"/>
        </w:tabs>
        <w:numPr>
          <w:ilvl w:val="0"/>
          <w:numId w:val="15"/>
        </w:numPr>
        <w:rPr>
          <w:rFonts w:ascii="Times New Roman" w:cs="Times New Roman" w:eastAsia="Times New Roman" w:hAnsi="Times New Roman"/>
          <w:sz w:val="18"/>
          <w:szCs w:val="18"/>
          <w:color w:val="F37F00"/>
        </w:rPr>
      </w:pPr>
      <w:r>
        <w:rPr>
          <w:rFonts w:ascii="Arial" w:cs="Arial" w:eastAsia="Arial" w:hAnsi="Arial"/>
          <w:sz w:val="18"/>
          <w:szCs w:val="18"/>
          <w:color w:val="202124"/>
        </w:rPr>
        <w:t>George R. Mrkonic, Jr.</w:t>
      </w:r>
    </w:p>
    <w:p>
      <w:pPr>
        <w:spacing w:after="0" w:line="8" w:lineRule="exact"/>
        <w:rPr>
          <w:rFonts w:ascii="Times New Roman" w:cs="Times New Roman" w:eastAsia="Times New Roman" w:hAnsi="Times New Roman"/>
          <w:sz w:val="18"/>
          <w:szCs w:val="18"/>
          <w:color w:val="F37F00"/>
        </w:rPr>
      </w:pPr>
    </w:p>
    <w:p>
      <w:pPr>
        <w:ind w:left="960" w:right="640" w:hanging="196"/>
        <w:spacing w:after="0" w:line="249" w:lineRule="auto"/>
        <w:tabs>
          <w:tab w:leader="none" w:pos="960" w:val="left"/>
        </w:tabs>
        <w:numPr>
          <w:ilvl w:val="0"/>
          <w:numId w:val="15"/>
        </w:numPr>
        <w:rPr>
          <w:rFonts w:ascii="Times New Roman" w:cs="Times New Roman" w:eastAsia="Times New Roman" w:hAnsi="Times New Roman"/>
          <w:sz w:val="18"/>
          <w:szCs w:val="18"/>
          <w:color w:val="F37F00"/>
        </w:rPr>
      </w:pPr>
      <w:r>
        <w:rPr>
          <w:rFonts w:ascii="Arial" w:cs="Arial" w:eastAsia="Arial" w:hAnsi="Arial"/>
          <w:sz w:val="18"/>
          <w:szCs w:val="18"/>
          <w:color w:val="202124"/>
        </w:rPr>
        <w:t>Constantino Spas Montesinos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 xml:space="preserve">Independent: </w:t>
      </w:r>
      <w:r>
        <w:rPr>
          <w:rFonts w:ascii="Arial" w:cs="Arial" w:eastAsia="Arial" w:hAnsi="Arial"/>
          <w:sz w:val="18"/>
          <w:szCs w:val="18"/>
          <w:color w:val="202124"/>
        </w:rPr>
        <w:t>All</w:t>
      </w:r>
    </w:p>
    <w:p>
      <w:pPr>
        <w:spacing w:after="0" w:line="198" w:lineRule="exact"/>
        <w:rPr>
          <w:sz w:val="20"/>
          <w:szCs w:val="20"/>
          <w:color w:val="auto"/>
        </w:rPr>
      </w:pPr>
    </w:p>
    <w:p>
      <w:pPr>
        <w:ind w:left="760"/>
        <w:spacing w:after="0" w:line="256" w:lineRule="auto"/>
        <w:rPr>
          <w:sz w:val="20"/>
          <w:szCs w:val="20"/>
          <w:color w:val="auto"/>
        </w:rPr>
      </w:pPr>
      <w:r>
        <w:rPr>
          <w:rFonts w:ascii="Arial" w:cs="Arial" w:eastAsia="Arial" w:hAnsi="Arial"/>
          <w:sz w:val="17"/>
          <w:szCs w:val="17"/>
          <w:b w:val="1"/>
          <w:bCs w:val="1"/>
          <w:color w:val="202124"/>
        </w:rPr>
        <w:t xml:space="preserve">Qualifications: </w:t>
      </w:r>
      <w:r>
        <w:rPr>
          <w:rFonts w:ascii="Arial" w:cs="Arial" w:eastAsia="Arial" w:hAnsi="Arial"/>
          <w:sz w:val="17"/>
          <w:szCs w:val="17"/>
          <w:color w:val="202124"/>
        </w:rPr>
        <w:t>The Board</w:t>
      </w:r>
      <w:r>
        <w:rPr>
          <w:rFonts w:ascii="Arial" w:cs="Arial" w:eastAsia="Arial" w:hAnsi="Arial"/>
          <w:sz w:val="17"/>
          <w:szCs w:val="17"/>
          <w:b w:val="1"/>
          <w:bCs w:val="1"/>
          <w:color w:val="202124"/>
        </w:rPr>
        <w:t xml:space="preserve"> </w:t>
      </w:r>
      <w:r>
        <w:rPr>
          <w:rFonts w:ascii="Arial" w:cs="Arial" w:eastAsia="Arial" w:hAnsi="Arial"/>
          <w:sz w:val="17"/>
          <w:szCs w:val="17"/>
          <w:color w:val="202124"/>
        </w:rPr>
        <w:t xml:space="preserve">has determined that each Committee member meets the qualifications of an </w:t>
      </w:r>
      <w:r>
        <w:rPr>
          <w:rFonts w:ascii="Arial" w:cs="Arial" w:eastAsia="Arial" w:hAnsi="Arial"/>
          <w:sz w:val="17"/>
          <w:szCs w:val="17"/>
          <w:b w:val="1"/>
          <w:bCs w:val="1"/>
          <w:color w:val="F37F00"/>
        </w:rPr>
        <w:t>audit</w:t>
      </w:r>
      <w:r>
        <w:rPr>
          <w:rFonts w:ascii="Arial" w:cs="Arial" w:eastAsia="Arial" w:hAnsi="Arial"/>
          <w:sz w:val="17"/>
          <w:szCs w:val="17"/>
          <w:color w:val="202124"/>
        </w:rPr>
        <w:t xml:space="preserve"> </w:t>
      </w:r>
      <w:r>
        <w:rPr>
          <w:rFonts w:ascii="Arial" w:cs="Arial" w:eastAsia="Arial" w:hAnsi="Arial"/>
          <w:sz w:val="17"/>
          <w:szCs w:val="17"/>
          <w:b w:val="1"/>
          <w:bCs w:val="1"/>
          <w:color w:val="F37F00"/>
        </w:rPr>
        <w:t xml:space="preserve">committee financial expert </w:t>
      </w:r>
      <w:r>
        <w:rPr>
          <w:rFonts w:ascii="Arial" w:cs="Arial" w:eastAsia="Arial" w:hAnsi="Arial"/>
          <w:sz w:val="17"/>
          <w:szCs w:val="17"/>
          <w:color w:val="202124"/>
        </w:rPr>
        <w:t xml:space="preserve">as defined by the SEC and is </w:t>
      </w:r>
      <w:r>
        <w:rPr>
          <w:rFonts w:ascii="Arial" w:cs="Arial" w:eastAsia="Arial" w:hAnsi="Arial"/>
          <w:sz w:val="17"/>
          <w:szCs w:val="17"/>
          <w:b w:val="1"/>
          <w:bCs w:val="1"/>
          <w:color w:val="F37F00"/>
        </w:rPr>
        <w:t>financially literate</w:t>
      </w:r>
      <w:r>
        <w:rPr>
          <w:rFonts w:ascii="Arial" w:cs="Arial" w:eastAsia="Arial" w:hAnsi="Arial"/>
          <w:sz w:val="17"/>
          <w:szCs w:val="17"/>
          <w:color w:val="202124"/>
        </w:rPr>
        <w:t xml:space="preserve"> as defined by the NYSE.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16" w:right="360"/>
        <w:spacing w:after="0" w:line="266" w:lineRule="auto"/>
        <w:rPr>
          <w:sz w:val="20"/>
          <w:szCs w:val="20"/>
          <w:color w:val="auto"/>
        </w:rPr>
      </w:pPr>
      <w:r>
        <w:rPr>
          <w:rFonts w:ascii="Arial" w:cs="Arial" w:eastAsia="Arial" w:hAnsi="Arial"/>
          <w:sz w:val="17"/>
          <w:szCs w:val="17"/>
          <w:color w:val="202124"/>
        </w:rPr>
        <w:t>The Audit Committee assists the Board in overseeing the integrity of the Company’s financial statements; the independent auditor’s qualification, independence and performance; the performance of the Company’s internal audit function; and the Company’s compliance with legal and regulatory requirements.</w:t>
      </w:r>
    </w:p>
    <w:p>
      <w:pPr>
        <w:spacing w:after="0" w:line="51" w:lineRule="exact"/>
        <w:rPr>
          <w:sz w:val="20"/>
          <w:szCs w:val="20"/>
          <w:color w:val="auto"/>
        </w:rPr>
      </w:pPr>
    </w:p>
    <w:p>
      <w:pPr>
        <w:ind w:left="16"/>
        <w:spacing w:after="0"/>
        <w:rPr>
          <w:sz w:val="20"/>
          <w:szCs w:val="20"/>
          <w:color w:val="auto"/>
        </w:rPr>
      </w:pPr>
      <w:r>
        <w:rPr>
          <w:rFonts w:ascii="Arial" w:cs="Arial" w:eastAsia="Arial" w:hAnsi="Arial"/>
          <w:sz w:val="18"/>
          <w:szCs w:val="18"/>
          <w:color w:val="202124"/>
        </w:rPr>
        <w:t>Accordingly, the Audit Committee has responsibility for:</w:t>
      </w:r>
    </w:p>
    <w:p>
      <w:pPr>
        <w:spacing w:after="0" w:line="50" w:lineRule="exact"/>
        <w:rPr>
          <w:sz w:val="20"/>
          <w:szCs w:val="20"/>
          <w:color w:val="auto"/>
        </w:rPr>
      </w:pPr>
    </w:p>
    <w:p>
      <w:pPr>
        <w:ind w:left="296" w:right="580" w:hanging="296"/>
        <w:spacing w:after="0" w:line="252" w:lineRule="auto"/>
        <w:tabs>
          <w:tab w:leader="none" w:pos="296" w:val="left"/>
        </w:tabs>
        <w:numPr>
          <w:ilvl w:val="0"/>
          <w:numId w:val="16"/>
        </w:numPr>
        <w:rPr>
          <w:rFonts w:ascii="Times New Roman" w:cs="Times New Roman" w:eastAsia="Times New Roman" w:hAnsi="Times New Roman"/>
          <w:sz w:val="18"/>
          <w:szCs w:val="18"/>
          <w:color w:val="F37F00"/>
        </w:rPr>
      </w:pPr>
      <w:r>
        <w:rPr>
          <w:rFonts w:ascii="Arial" w:cs="Arial" w:eastAsia="Arial" w:hAnsi="Arial"/>
          <w:sz w:val="18"/>
          <w:szCs w:val="18"/>
          <w:color w:val="202124"/>
        </w:rPr>
        <w:t>evaluating, appointing or dismissing, determining compensation for, and overseeing the work of the independent public accounting firm employed to conduct the annual audit, which reports to the Audit Committee;</w:t>
      </w:r>
    </w:p>
    <w:p>
      <w:pPr>
        <w:spacing w:after="0" w:line="8" w:lineRule="exact"/>
        <w:rPr>
          <w:rFonts w:ascii="Times New Roman" w:cs="Times New Roman" w:eastAsia="Times New Roman" w:hAnsi="Times New Roman"/>
          <w:sz w:val="18"/>
          <w:szCs w:val="18"/>
          <w:color w:val="F37F00"/>
        </w:rPr>
      </w:pPr>
    </w:p>
    <w:p>
      <w:pPr>
        <w:ind w:left="296" w:right="300" w:hanging="296"/>
        <w:spacing w:after="0" w:line="265" w:lineRule="auto"/>
        <w:tabs>
          <w:tab w:leader="none" w:pos="296" w:val="left"/>
        </w:tabs>
        <w:numPr>
          <w:ilvl w:val="0"/>
          <w:numId w:val="16"/>
        </w:numPr>
        <w:rPr>
          <w:rFonts w:ascii="Times New Roman" w:cs="Times New Roman" w:eastAsia="Times New Roman" w:hAnsi="Times New Roman"/>
          <w:sz w:val="18"/>
          <w:szCs w:val="18"/>
          <w:color w:val="F37F00"/>
        </w:rPr>
      </w:pPr>
      <w:r>
        <w:rPr>
          <w:rFonts w:ascii="Arial" w:cs="Arial" w:eastAsia="Arial" w:hAnsi="Arial"/>
          <w:sz w:val="18"/>
          <w:szCs w:val="18"/>
          <w:color w:val="202124"/>
        </w:rPr>
        <w:t>conducting periodic reviews with Company officers, management, independent auditors, and the internal audit function;</w:t>
      </w:r>
    </w:p>
    <w:p>
      <w:pPr>
        <w:spacing w:after="0" w:line="1" w:lineRule="exact"/>
        <w:rPr>
          <w:rFonts w:ascii="Times New Roman" w:cs="Times New Roman" w:eastAsia="Times New Roman" w:hAnsi="Times New Roman"/>
          <w:sz w:val="18"/>
          <w:szCs w:val="18"/>
          <w:color w:val="F37F00"/>
        </w:rPr>
      </w:pPr>
    </w:p>
    <w:p>
      <w:pPr>
        <w:ind w:left="296" w:right="300" w:hanging="296"/>
        <w:spacing w:after="0" w:line="264" w:lineRule="auto"/>
        <w:tabs>
          <w:tab w:leader="none" w:pos="296" w:val="left"/>
        </w:tabs>
        <w:numPr>
          <w:ilvl w:val="0"/>
          <w:numId w:val="16"/>
        </w:numPr>
        <w:rPr>
          <w:rFonts w:ascii="Times New Roman" w:cs="Times New Roman" w:eastAsia="Times New Roman" w:hAnsi="Times New Roman"/>
          <w:sz w:val="17"/>
          <w:szCs w:val="17"/>
          <w:color w:val="F37F00"/>
        </w:rPr>
      </w:pPr>
      <w:r>
        <w:rPr>
          <w:rFonts w:ascii="Arial" w:cs="Arial" w:eastAsia="Arial" w:hAnsi="Arial"/>
          <w:sz w:val="17"/>
          <w:szCs w:val="17"/>
          <w:color w:val="202124"/>
        </w:rPr>
        <w:t>reviewing and discussing with management and the independent auditor the Company’s annual audited financial statements, quarterly financial statements, internal controls report and the independent auditor’s attestation thereof, and other matters related to the Company’s financial statements and disclosures;</w:t>
      </w:r>
    </w:p>
    <w:p>
      <w:pPr>
        <w:spacing w:after="0" w:line="3" w:lineRule="exact"/>
        <w:rPr>
          <w:rFonts w:ascii="Times New Roman" w:cs="Times New Roman" w:eastAsia="Times New Roman" w:hAnsi="Times New Roman"/>
          <w:sz w:val="17"/>
          <w:szCs w:val="17"/>
          <w:color w:val="F37F00"/>
        </w:rPr>
      </w:pPr>
    </w:p>
    <w:p>
      <w:pPr>
        <w:ind w:left="296" w:right="400" w:hanging="296"/>
        <w:spacing w:after="0" w:line="252" w:lineRule="auto"/>
        <w:tabs>
          <w:tab w:leader="none" w:pos="296" w:val="left"/>
        </w:tabs>
        <w:numPr>
          <w:ilvl w:val="0"/>
          <w:numId w:val="16"/>
        </w:numPr>
        <w:rPr>
          <w:rFonts w:ascii="Times New Roman" w:cs="Times New Roman" w:eastAsia="Times New Roman" w:hAnsi="Times New Roman"/>
          <w:sz w:val="18"/>
          <w:szCs w:val="18"/>
          <w:color w:val="F37F00"/>
        </w:rPr>
      </w:pPr>
      <w:r>
        <w:rPr>
          <w:rFonts w:ascii="Arial" w:cs="Arial" w:eastAsia="Arial" w:hAnsi="Arial"/>
          <w:sz w:val="18"/>
          <w:szCs w:val="18"/>
          <w:color w:val="202124"/>
        </w:rPr>
        <w:t>overseeing the Company’s internal audit function, including providing input regarding the selection, evaluation and compensation of the Vice President of Internal Audit;</w:t>
      </w:r>
    </w:p>
    <w:p>
      <w:pPr>
        <w:spacing w:after="0" w:line="8" w:lineRule="exact"/>
        <w:rPr>
          <w:rFonts w:ascii="Times New Roman" w:cs="Times New Roman" w:eastAsia="Times New Roman" w:hAnsi="Times New Roman"/>
          <w:sz w:val="18"/>
          <w:szCs w:val="18"/>
          <w:color w:val="F37F00"/>
        </w:rPr>
      </w:pPr>
    </w:p>
    <w:p>
      <w:pPr>
        <w:ind w:left="296" w:right="620" w:hanging="296"/>
        <w:spacing w:after="0" w:line="252" w:lineRule="auto"/>
        <w:tabs>
          <w:tab w:leader="none" w:pos="296" w:val="left"/>
        </w:tabs>
        <w:numPr>
          <w:ilvl w:val="0"/>
          <w:numId w:val="16"/>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reviewing and discussing with management the Company’s cybersecurity, information security and service continuity practices and the steps taken to monitor and mitigate related risk exposure; and</w:t>
      </w:r>
    </w:p>
    <w:p>
      <w:pPr>
        <w:spacing w:after="0" w:line="8" w:lineRule="exact"/>
        <w:rPr>
          <w:rFonts w:ascii="Times New Roman" w:cs="Times New Roman" w:eastAsia="Times New Roman" w:hAnsi="Times New Roman"/>
          <w:sz w:val="18"/>
          <w:szCs w:val="18"/>
          <w:color w:val="F37F00"/>
        </w:rPr>
      </w:pPr>
    </w:p>
    <w:p>
      <w:pPr>
        <w:ind w:left="296" w:right="880" w:hanging="296"/>
        <w:spacing w:after="0" w:line="270" w:lineRule="auto"/>
        <w:tabs>
          <w:tab w:leader="none" w:pos="296" w:val="left"/>
        </w:tabs>
        <w:numPr>
          <w:ilvl w:val="0"/>
          <w:numId w:val="16"/>
        </w:numPr>
        <w:rPr>
          <w:rFonts w:ascii="Times New Roman" w:cs="Times New Roman" w:eastAsia="Times New Roman" w:hAnsi="Times New Roman"/>
          <w:sz w:val="18"/>
          <w:szCs w:val="18"/>
          <w:color w:val="F37F00"/>
        </w:rPr>
      </w:pPr>
      <w:r>
        <w:rPr>
          <w:rFonts w:ascii="Arial" w:cs="Arial" w:eastAsia="Arial" w:hAnsi="Arial"/>
          <w:sz w:val="18"/>
          <w:szCs w:val="18"/>
          <w:color w:val="202124"/>
        </w:rPr>
        <w:t>reporting routinely to the Board and making recommendations on these matters.</w:t>
      </w:r>
    </w:p>
    <w:p>
      <w:pPr>
        <w:spacing w:after="0" w:line="200" w:lineRule="exact"/>
        <w:rPr>
          <w:sz w:val="20"/>
          <w:szCs w:val="20"/>
          <w:color w:val="auto"/>
        </w:rPr>
      </w:pPr>
    </w:p>
    <w:p>
      <w:pPr>
        <w:sectPr>
          <w:pgSz w:w="11900" w:h="16838" w:orient="portrait"/>
          <w:cols w:equalWidth="0" w:num="2">
            <w:col w:w="3020" w:space="484"/>
            <w:col w:w="6856"/>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11</w:t>
            </w:r>
          </w:p>
        </w:tc>
      </w:tr>
    </w:tbl>
    <w:p>
      <w:pPr>
        <w:sectPr>
          <w:pgSz w:w="11900" w:h="16838" w:orient="portrait"/>
          <w:cols w:equalWidth="0" w:num="1">
            <w:col w:w="10360"/>
          </w:cols>
          <w:pgMar w:left="440" w:top="106" w:right="10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5"/>
          <w:szCs w:val="15"/>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-95250</wp:posOffset>
            </wp:positionV>
            <wp:extent cx="723265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ectPr>
          <w:pgSz w:w="11900" w:h="16838" w:orient="portrait"/>
          <w:cols w:equalWidth="0" w:num="1">
            <w:col w:w="10360"/>
          </w:cols>
          <w:pgMar w:left="440" w:top="1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F37F00"/>
        </w:rPr>
        <w:t>COMPENSATION COMMITTEE</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Meetings in FY26: 5</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Members:</w:t>
      </w:r>
    </w:p>
    <w:p>
      <w:pPr>
        <w:spacing w:after="0" w:line="14" w:lineRule="exact"/>
        <w:rPr>
          <w:sz w:val="20"/>
          <w:szCs w:val="20"/>
          <w:color w:val="auto"/>
        </w:rPr>
      </w:pPr>
    </w:p>
    <w:p>
      <w:pPr>
        <w:ind w:left="960" w:right="460" w:hanging="196"/>
        <w:spacing w:after="0" w:line="234" w:lineRule="auto"/>
        <w:tabs>
          <w:tab w:leader="none" w:pos="960" w:val="left"/>
        </w:tabs>
        <w:numPr>
          <w:ilvl w:val="0"/>
          <w:numId w:val="17"/>
        </w:numPr>
        <w:rPr>
          <w:rFonts w:ascii="Times New Roman" w:cs="Times New Roman" w:eastAsia="Times New Roman" w:hAnsi="Times New Roman"/>
          <w:sz w:val="18"/>
          <w:szCs w:val="18"/>
          <w:color w:val="F37F00"/>
        </w:rPr>
      </w:pPr>
      <w:r>
        <w:rPr>
          <w:rFonts w:ascii="Arial" w:cs="Arial" w:eastAsia="Arial" w:hAnsi="Arial"/>
          <w:sz w:val="18"/>
          <w:szCs w:val="18"/>
          <w:color w:val="202124"/>
        </w:rPr>
        <w:t>George R. Mrkonic, Jr. (Chair)</w:t>
      </w:r>
    </w:p>
    <w:p>
      <w:pPr>
        <w:ind w:left="960" w:hanging="196"/>
        <w:spacing w:after="0"/>
        <w:tabs>
          <w:tab w:leader="none" w:pos="960" w:val="left"/>
        </w:tabs>
        <w:numPr>
          <w:ilvl w:val="0"/>
          <w:numId w:val="17"/>
        </w:numPr>
        <w:rPr>
          <w:rFonts w:ascii="Times New Roman" w:cs="Times New Roman" w:eastAsia="Times New Roman" w:hAnsi="Times New Roman"/>
          <w:sz w:val="18"/>
          <w:szCs w:val="18"/>
          <w:color w:val="F37F00"/>
        </w:rPr>
      </w:pPr>
      <w:r>
        <w:rPr>
          <w:rFonts w:ascii="Arial" w:cs="Arial" w:eastAsia="Arial" w:hAnsi="Arial"/>
          <w:sz w:val="18"/>
          <w:szCs w:val="18"/>
          <w:color w:val="202124"/>
        </w:rPr>
        <w:t>Michael A. George</w:t>
      </w:r>
    </w:p>
    <w:p>
      <w:pPr>
        <w:spacing w:after="0" w:line="8" w:lineRule="exact"/>
        <w:rPr>
          <w:rFonts w:ascii="Times New Roman" w:cs="Times New Roman" w:eastAsia="Times New Roman" w:hAnsi="Times New Roman"/>
          <w:sz w:val="18"/>
          <w:szCs w:val="18"/>
          <w:color w:val="F37F00"/>
        </w:rPr>
      </w:pPr>
    </w:p>
    <w:p>
      <w:pPr>
        <w:ind w:left="960" w:hanging="196"/>
        <w:spacing w:after="0"/>
        <w:tabs>
          <w:tab w:leader="none" w:pos="960" w:val="left"/>
        </w:tabs>
        <w:numPr>
          <w:ilvl w:val="0"/>
          <w:numId w:val="17"/>
        </w:numPr>
        <w:rPr>
          <w:rFonts w:ascii="Times New Roman" w:cs="Times New Roman" w:eastAsia="Times New Roman" w:hAnsi="Times New Roman"/>
          <w:sz w:val="18"/>
          <w:szCs w:val="18"/>
          <w:color w:val="F37F00"/>
        </w:rPr>
      </w:pPr>
      <w:r>
        <w:rPr>
          <w:rFonts w:ascii="Arial" w:cs="Arial" w:eastAsia="Arial" w:hAnsi="Arial"/>
          <w:sz w:val="18"/>
          <w:szCs w:val="18"/>
          <w:color w:val="202124"/>
        </w:rPr>
        <w:t>Brian P. Hannasch</w:t>
      </w:r>
    </w:p>
    <w:p>
      <w:pPr>
        <w:spacing w:after="0" w:line="8" w:lineRule="exact"/>
        <w:rPr>
          <w:rFonts w:ascii="Times New Roman" w:cs="Times New Roman" w:eastAsia="Times New Roman" w:hAnsi="Times New Roman"/>
          <w:sz w:val="18"/>
          <w:szCs w:val="18"/>
          <w:color w:val="F37F00"/>
        </w:rPr>
      </w:pPr>
    </w:p>
    <w:p>
      <w:pPr>
        <w:ind w:left="960" w:hanging="196"/>
        <w:spacing w:after="0"/>
        <w:tabs>
          <w:tab w:leader="none" w:pos="960" w:val="left"/>
        </w:tabs>
        <w:numPr>
          <w:ilvl w:val="0"/>
          <w:numId w:val="17"/>
        </w:numPr>
        <w:rPr>
          <w:rFonts w:ascii="Times New Roman" w:cs="Times New Roman" w:eastAsia="Times New Roman" w:hAnsi="Times New Roman"/>
          <w:sz w:val="18"/>
          <w:szCs w:val="18"/>
          <w:color w:val="F37F00"/>
        </w:rPr>
      </w:pPr>
      <w:r>
        <w:rPr>
          <w:rFonts w:ascii="Arial" w:cs="Arial" w:eastAsia="Arial" w:hAnsi="Arial"/>
          <w:sz w:val="18"/>
          <w:szCs w:val="18"/>
          <w:color w:val="202124"/>
        </w:rPr>
        <w:t>Claire R. McDonough</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 xml:space="preserve">Independent: </w:t>
      </w:r>
      <w:r>
        <w:rPr>
          <w:rFonts w:ascii="Arial" w:cs="Arial" w:eastAsia="Arial" w:hAnsi="Arial"/>
          <w:sz w:val="18"/>
          <w:szCs w:val="18"/>
          <w:color w:val="202124"/>
        </w:rPr>
        <w:t>All</w:t>
      </w:r>
    </w:p>
    <w:p>
      <w:pPr>
        <w:spacing w:after="0" w:line="198" w:lineRule="exact"/>
        <w:rPr>
          <w:sz w:val="20"/>
          <w:szCs w:val="20"/>
          <w:color w:val="auto"/>
        </w:rPr>
      </w:pPr>
    </w:p>
    <w:p>
      <w:pPr>
        <w:ind w:left="760" w:right="100"/>
        <w:spacing w:after="0" w:line="239"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202124"/>
        </w:rPr>
        <w:t>The Board</w:t>
      </w:r>
      <w:r>
        <w:rPr>
          <w:rFonts w:ascii="Arial" w:cs="Arial" w:eastAsia="Arial" w:hAnsi="Arial"/>
          <w:sz w:val="18"/>
          <w:szCs w:val="18"/>
          <w:b w:val="1"/>
          <w:bCs w:val="1"/>
          <w:color w:val="auto"/>
        </w:rPr>
        <w:t xml:space="preserve"> </w:t>
      </w:r>
      <w:r>
        <w:rPr>
          <w:rFonts w:ascii="Arial" w:cs="Arial" w:eastAsia="Arial" w:hAnsi="Arial"/>
          <w:sz w:val="18"/>
          <w:szCs w:val="18"/>
          <w:color w:val="202124"/>
        </w:rPr>
        <w:t>has determined that each member of the Compensation Committee meets the additional independence requirements of the SEC and NYSE applicable to Compensation Committee members.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02124"/>
        </w:rPr>
        <w:t>The Compensation Committee has responsibility for:</w:t>
      </w:r>
    </w:p>
    <w:p>
      <w:pPr>
        <w:spacing w:after="0" w:line="50" w:lineRule="exact"/>
        <w:rPr>
          <w:sz w:val="20"/>
          <w:szCs w:val="20"/>
          <w:color w:val="auto"/>
        </w:rPr>
      </w:pPr>
    </w:p>
    <w:p>
      <w:pPr>
        <w:ind w:left="320" w:right="460" w:hanging="309"/>
        <w:spacing w:after="0" w:line="265"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reviewing and approving AutoZone’s compensation philosophy, strategy and objectives;</w:t>
      </w:r>
    </w:p>
    <w:p>
      <w:pPr>
        <w:spacing w:after="0" w:line="1" w:lineRule="exact"/>
        <w:rPr>
          <w:rFonts w:ascii="Times New Roman" w:cs="Times New Roman" w:eastAsia="Times New Roman" w:hAnsi="Times New Roman"/>
          <w:sz w:val="18"/>
          <w:szCs w:val="18"/>
          <w:color w:val="F37F00"/>
        </w:rPr>
      </w:pPr>
    </w:p>
    <w:p>
      <w:pPr>
        <w:ind w:left="320" w:right="700" w:hanging="309"/>
        <w:spacing w:after="0" w:line="265"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reviewing and approving the compensation programs, plans, policies and awards for executive officers;</w:t>
      </w:r>
    </w:p>
    <w:p>
      <w:pPr>
        <w:spacing w:after="0" w:line="1" w:lineRule="exact"/>
        <w:rPr>
          <w:rFonts w:ascii="Times New Roman" w:cs="Times New Roman" w:eastAsia="Times New Roman" w:hAnsi="Times New Roman"/>
          <w:sz w:val="18"/>
          <w:szCs w:val="18"/>
          <w:color w:val="F37F00"/>
        </w:rPr>
      </w:pPr>
    </w:p>
    <w:p>
      <w:pPr>
        <w:ind w:left="320" w:right="240" w:hanging="309"/>
        <w:spacing w:after="0" w:line="252"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leading the independent directors in the evaluation of the performance of the CEO in meeting established goals and objectives relevant to the compensation of the CEO;</w:t>
      </w:r>
    </w:p>
    <w:p>
      <w:pPr>
        <w:spacing w:after="0" w:line="8" w:lineRule="exact"/>
        <w:rPr>
          <w:rFonts w:ascii="Times New Roman" w:cs="Times New Roman" w:eastAsia="Times New Roman" w:hAnsi="Times New Roman"/>
          <w:sz w:val="18"/>
          <w:szCs w:val="18"/>
          <w:color w:val="F37F00"/>
        </w:rPr>
      </w:pPr>
    </w:p>
    <w:p>
      <w:pPr>
        <w:ind w:left="320" w:right="300" w:hanging="309"/>
        <w:spacing w:after="0" w:line="265"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acting as administrator of AutoZone’s short- and long-term incentive plans and stock or stock-based plans;</w:t>
      </w:r>
    </w:p>
    <w:p>
      <w:pPr>
        <w:spacing w:after="0" w:line="1" w:lineRule="exact"/>
        <w:rPr>
          <w:rFonts w:ascii="Times New Roman" w:cs="Times New Roman" w:eastAsia="Times New Roman" w:hAnsi="Times New Roman"/>
          <w:sz w:val="18"/>
          <w:szCs w:val="18"/>
          <w:color w:val="F37F00"/>
        </w:rPr>
      </w:pPr>
    </w:p>
    <w:p>
      <w:pPr>
        <w:ind w:left="320" w:right="400" w:hanging="309"/>
        <w:spacing w:after="0" w:line="252"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reviewing the compensation of AutoZone’s non-employee directors from time to time and recommending to the full Board any changes that the Compensation Committee deems necessary;</w:t>
      </w:r>
    </w:p>
    <w:p>
      <w:pPr>
        <w:spacing w:after="0" w:line="8" w:lineRule="exact"/>
        <w:rPr>
          <w:rFonts w:ascii="Times New Roman" w:cs="Times New Roman" w:eastAsia="Times New Roman" w:hAnsi="Times New Roman"/>
          <w:sz w:val="18"/>
          <w:szCs w:val="18"/>
          <w:color w:val="F37F00"/>
        </w:rPr>
      </w:pPr>
    </w:p>
    <w:p>
      <w:pPr>
        <w:ind w:left="320" w:right="240" w:hanging="309"/>
        <w:spacing w:after="0" w:line="252"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reviewing and discussing with management the alignment between AutoZone’s compensation programs, company strategy and human capital management strategy; and</w:t>
      </w:r>
    </w:p>
    <w:p>
      <w:pPr>
        <w:spacing w:after="0" w:line="8" w:lineRule="exact"/>
        <w:rPr>
          <w:rFonts w:ascii="Times New Roman" w:cs="Times New Roman" w:eastAsia="Times New Roman" w:hAnsi="Times New Roman"/>
          <w:sz w:val="18"/>
          <w:szCs w:val="18"/>
          <w:color w:val="F37F00"/>
        </w:rPr>
      </w:pPr>
    </w:p>
    <w:p>
      <w:pPr>
        <w:ind w:left="320" w:right="840" w:hanging="309"/>
        <w:spacing w:after="0" w:line="270" w:lineRule="auto"/>
        <w:tabs>
          <w:tab w:leader="none" w:pos="320" w:val="left"/>
        </w:tabs>
        <w:numPr>
          <w:ilvl w:val="0"/>
          <w:numId w:val="18"/>
        </w:numPr>
        <w:rPr>
          <w:rFonts w:ascii="Times New Roman" w:cs="Times New Roman" w:eastAsia="Times New Roman" w:hAnsi="Times New Roman"/>
          <w:sz w:val="18"/>
          <w:szCs w:val="18"/>
          <w:color w:val="F37F00"/>
        </w:rPr>
      </w:pPr>
      <w:r>
        <w:rPr>
          <w:rFonts w:ascii="Arial" w:cs="Arial" w:eastAsia="Arial" w:hAnsi="Arial"/>
          <w:sz w:val="18"/>
          <w:szCs w:val="18"/>
          <w:color w:val="202124"/>
        </w:rPr>
        <w:t>reporting routinely to the Board and making recommendations on these matters.</w:t>
      </w:r>
    </w:p>
    <w:p>
      <w:pPr>
        <w:spacing w:after="0" w:line="251" w:lineRule="exact"/>
        <w:rPr>
          <w:sz w:val="20"/>
          <w:szCs w:val="20"/>
          <w:color w:val="auto"/>
        </w:rPr>
      </w:pPr>
    </w:p>
    <w:p>
      <w:pPr>
        <w:sectPr>
          <w:pgSz w:w="11900" w:h="16838" w:orient="portrait"/>
          <w:cols w:equalWidth="0" w:num="2">
            <w:col w:w="3220" w:space="300"/>
            <w:col w:w="6840"/>
          </w:cols>
          <w:pgMar w:left="440" w:top="10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F37F00"/>
        </w:rPr>
        <w:t>NOMINATING AND CORPORATE GOVERNANCE COMMITTEE</w:t>
      </w:r>
    </w:p>
    <w:p>
      <w:pPr>
        <w:sectPr>
          <w:pgSz w:w="11900" w:h="16838" w:orient="portrait"/>
          <w:cols w:equalWidth="0" w:num="1">
            <w:col w:w="10360"/>
          </w:cols>
          <w:pgMar w:left="440" w:top="108" w:right="1099" w:bottom="1440" w:gutter="0" w:footer="0" w:header="0"/>
          <w:type w:val="continuous"/>
        </w:sectPr>
      </w:pP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Meetings in FY26: 3</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Members:</w:t>
      </w:r>
    </w:p>
    <w:p>
      <w:pPr>
        <w:spacing w:after="0" w:line="14" w:lineRule="exact"/>
        <w:rPr>
          <w:sz w:val="20"/>
          <w:szCs w:val="20"/>
          <w:color w:val="auto"/>
        </w:rPr>
      </w:pPr>
    </w:p>
    <w:p>
      <w:pPr>
        <w:ind w:left="960" w:hanging="196"/>
        <w:spacing w:after="0"/>
        <w:tabs>
          <w:tab w:leader="none" w:pos="960" w:val="left"/>
        </w:tabs>
        <w:numPr>
          <w:ilvl w:val="0"/>
          <w:numId w:val="19"/>
        </w:numPr>
        <w:rPr>
          <w:rFonts w:ascii="Times New Roman" w:cs="Times New Roman" w:eastAsia="Times New Roman" w:hAnsi="Times New Roman"/>
          <w:sz w:val="17"/>
          <w:szCs w:val="17"/>
          <w:color w:val="F37F00"/>
        </w:rPr>
      </w:pPr>
      <w:r>
        <w:rPr>
          <w:rFonts w:ascii="Arial" w:cs="Arial" w:eastAsia="Arial" w:hAnsi="Arial"/>
          <w:sz w:val="17"/>
          <w:szCs w:val="17"/>
          <w:color w:val="202124"/>
        </w:rPr>
        <w:t>Earl G. Graves, Jr. (Chair)</w:t>
      </w:r>
    </w:p>
    <w:p>
      <w:pPr>
        <w:spacing w:after="0" w:line="19" w:lineRule="exact"/>
        <w:rPr>
          <w:rFonts w:ascii="Times New Roman" w:cs="Times New Roman" w:eastAsia="Times New Roman" w:hAnsi="Times New Roman"/>
          <w:sz w:val="17"/>
          <w:szCs w:val="17"/>
          <w:color w:val="F37F00"/>
        </w:rPr>
      </w:pPr>
    </w:p>
    <w:p>
      <w:pPr>
        <w:ind w:left="960" w:hanging="196"/>
        <w:spacing w:after="0"/>
        <w:tabs>
          <w:tab w:leader="none" w:pos="960" w:val="left"/>
        </w:tabs>
        <w:numPr>
          <w:ilvl w:val="0"/>
          <w:numId w:val="19"/>
        </w:numPr>
        <w:rPr>
          <w:rFonts w:ascii="Times New Roman" w:cs="Times New Roman" w:eastAsia="Times New Roman" w:hAnsi="Times New Roman"/>
          <w:sz w:val="18"/>
          <w:szCs w:val="18"/>
          <w:color w:val="F37F00"/>
        </w:rPr>
      </w:pPr>
      <w:r>
        <w:rPr>
          <w:rFonts w:ascii="Arial" w:cs="Arial" w:eastAsia="Arial" w:hAnsi="Arial"/>
          <w:sz w:val="18"/>
          <w:szCs w:val="18"/>
          <w:color w:val="202124"/>
        </w:rPr>
        <w:t>Gale V. King</w:t>
      </w:r>
    </w:p>
    <w:p>
      <w:pPr>
        <w:spacing w:after="0" w:line="8" w:lineRule="exact"/>
        <w:rPr>
          <w:rFonts w:ascii="Times New Roman" w:cs="Times New Roman" w:eastAsia="Times New Roman" w:hAnsi="Times New Roman"/>
          <w:sz w:val="18"/>
          <w:szCs w:val="18"/>
          <w:color w:val="F37F00"/>
        </w:rPr>
      </w:pPr>
    </w:p>
    <w:p>
      <w:pPr>
        <w:ind w:left="960" w:hanging="196"/>
        <w:spacing w:after="0"/>
        <w:tabs>
          <w:tab w:leader="none" w:pos="960" w:val="left"/>
        </w:tabs>
        <w:numPr>
          <w:ilvl w:val="0"/>
          <w:numId w:val="19"/>
        </w:numPr>
        <w:rPr>
          <w:rFonts w:ascii="Times New Roman" w:cs="Times New Roman" w:eastAsia="Times New Roman" w:hAnsi="Times New Roman"/>
          <w:sz w:val="18"/>
          <w:szCs w:val="18"/>
          <w:color w:val="F37F00"/>
        </w:rPr>
      </w:pPr>
      <w:r>
        <w:rPr>
          <w:rFonts w:ascii="Arial" w:cs="Arial" w:eastAsia="Arial" w:hAnsi="Arial"/>
          <w:sz w:val="18"/>
          <w:szCs w:val="18"/>
          <w:color w:val="202124"/>
        </w:rPr>
        <w:t>Jill A. Soltau</w:t>
      </w:r>
    </w:p>
    <w:p>
      <w:pPr>
        <w:spacing w:after="0" w:line="8" w:lineRule="exact"/>
        <w:rPr>
          <w:rFonts w:ascii="Times New Roman" w:cs="Times New Roman" w:eastAsia="Times New Roman" w:hAnsi="Times New Roman"/>
          <w:sz w:val="18"/>
          <w:szCs w:val="18"/>
          <w:color w:val="F37F00"/>
        </w:rPr>
      </w:pPr>
    </w:p>
    <w:p>
      <w:pPr>
        <w:ind w:left="960" w:right="660" w:hanging="196"/>
        <w:spacing w:after="0" w:line="249" w:lineRule="auto"/>
        <w:tabs>
          <w:tab w:leader="none" w:pos="960" w:val="left"/>
        </w:tabs>
        <w:numPr>
          <w:ilvl w:val="0"/>
          <w:numId w:val="19"/>
        </w:numPr>
        <w:rPr>
          <w:rFonts w:ascii="Times New Roman" w:cs="Times New Roman" w:eastAsia="Times New Roman" w:hAnsi="Times New Roman"/>
          <w:sz w:val="18"/>
          <w:szCs w:val="18"/>
          <w:color w:val="F37F00"/>
        </w:rPr>
      </w:pPr>
      <w:r>
        <w:rPr>
          <w:rFonts w:ascii="Arial" w:cs="Arial" w:eastAsia="Arial" w:hAnsi="Arial"/>
          <w:sz w:val="18"/>
          <w:szCs w:val="18"/>
          <w:color w:val="202124"/>
        </w:rPr>
        <w:t>Constantino Spas Montesinos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02124"/>
        </w:rPr>
        <w:t xml:space="preserve">Independent: </w:t>
      </w:r>
      <w:r>
        <w:rPr>
          <w:rFonts w:ascii="Arial" w:cs="Arial" w:eastAsia="Arial" w:hAnsi="Arial"/>
          <w:sz w:val="18"/>
          <w:szCs w:val="18"/>
          <w:color w:val="202124"/>
        </w:rPr>
        <w:t>All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02124"/>
        </w:rPr>
        <w:t>The Nominating and Corporate Governance Committee has responsibility for:</w:t>
      </w:r>
    </w:p>
    <w:p>
      <w:pPr>
        <w:spacing w:after="0" w:line="50" w:lineRule="exact"/>
        <w:rPr>
          <w:sz w:val="20"/>
          <w:szCs w:val="20"/>
          <w:color w:val="auto"/>
        </w:rPr>
      </w:pPr>
    </w:p>
    <w:p>
      <w:pPr>
        <w:ind w:left="320" w:right="480" w:hanging="309"/>
        <w:spacing w:after="0" w:line="265" w:lineRule="auto"/>
        <w:tabs>
          <w:tab w:leader="none" w:pos="320" w:val="left"/>
        </w:tabs>
        <w:numPr>
          <w:ilvl w:val="0"/>
          <w:numId w:val="20"/>
        </w:numPr>
        <w:rPr>
          <w:rFonts w:ascii="Times New Roman" w:cs="Times New Roman" w:eastAsia="Times New Roman" w:hAnsi="Times New Roman"/>
          <w:sz w:val="18"/>
          <w:szCs w:val="18"/>
          <w:color w:val="F37F00"/>
        </w:rPr>
      </w:pPr>
      <w:r>
        <w:rPr>
          <w:rFonts w:ascii="Arial" w:cs="Arial" w:eastAsia="Arial" w:hAnsi="Arial"/>
          <w:sz w:val="18"/>
          <w:szCs w:val="18"/>
          <w:color w:val="202124"/>
        </w:rPr>
        <w:t>ensuring that qualified candidates are presented to the Board for election as directors;</w:t>
      </w:r>
    </w:p>
    <w:p>
      <w:pPr>
        <w:spacing w:after="0" w:line="1" w:lineRule="exact"/>
        <w:rPr>
          <w:rFonts w:ascii="Times New Roman" w:cs="Times New Roman" w:eastAsia="Times New Roman" w:hAnsi="Times New Roman"/>
          <w:sz w:val="18"/>
          <w:szCs w:val="18"/>
          <w:color w:val="F37F00"/>
        </w:rPr>
      </w:pPr>
    </w:p>
    <w:p>
      <w:pPr>
        <w:ind w:left="320" w:right="580" w:hanging="309"/>
        <w:spacing w:after="0" w:line="252" w:lineRule="auto"/>
        <w:tabs>
          <w:tab w:leader="none" w:pos="320" w:val="left"/>
        </w:tabs>
        <w:numPr>
          <w:ilvl w:val="0"/>
          <w:numId w:val="20"/>
        </w:numPr>
        <w:rPr>
          <w:rFonts w:ascii="Times New Roman" w:cs="Times New Roman" w:eastAsia="Times New Roman" w:hAnsi="Times New Roman"/>
          <w:sz w:val="18"/>
          <w:szCs w:val="18"/>
          <w:color w:val="F37F00"/>
        </w:rPr>
      </w:pPr>
      <w:r>
        <w:rPr>
          <w:rFonts w:ascii="Arial" w:cs="Arial" w:eastAsia="Arial" w:hAnsi="Arial"/>
          <w:sz w:val="18"/>
          <w:szCs w:val="18"/>
          <w:color w:val="202124"/>
        </w:rPr>
        <w:t>assisting the Board in its oversight of AutoZone’s corporate responsibility practices, including human capital management and any related significant reporting and stockholder engagement efforts;</w:t>
      </w:r>
    </w:p>
    <w:p>
      <w:pPr>
        <w:spacing w:after="0" w:line="8" w:lineRule="exact"/>
        <w:rPr>
          <w:rFonts w:ascii="Times New Roman" w:cs="Times New Roman" w:eastAsia="Times New Roman" w:hAnsi="Times New Roman"/>
          <w:sz w:val="18"/>
          <w:szCs w:val="18"/>
          <w:color w:val="F37F00"/>
        </w:rPr>
      </w:pPr>
    </w:p>
    <w:p>
      <w:pPr>
        <w:ind w:left="320" w:right="360" w:hanging="309"/>
        <w:spacing w:after="0" w:line="265" w:lineRule="auto"/>
        <w:tabs>
          <w:tab w:leader="none" w:pos="320" w:val="left"/>
        </w:tabs>
        <w:numPr>
          <w:ilvl w:val="0"/>
          <w:numId w:val="20"/>
        </w:numPr>
        <w:rPr>
          <w:rFonts w:ascii="Times New Roman" w:cs="Times New Roman" w:eastAsia="Times New Roman" w:hAnsi="Times New Roman"/>
          <w:sz w:val="18"/>
          <w:szCs w:val="18"/>
          <w:color w:val="F37F00"/>
        </w:rPr>
      </w:pPr>
      <w:r>
        <w:rPr>
          <w:rFonts w:ascii="Arial" w:cs="Arial" w:eastAsia="Arial" w:hAnsi="Arial"/>
          <w:sz w:val="18"/>
          <w:szCs w:val="18"/>
          <w:color w:val="202124"/>
        </w:rPr>
        <w:t>assisting the Board in developing criteria and procedures for the evaluation of the Board, its committees and directors; and</w:t>
      </w:r>
    </w:p>
    <w:p>
      <w:pPr>
        <w:spacing w:after="0" w:line="1" w:lineRule="exact"/>
        <w:rPr>
          <w:rFonts w:ascii="Times New Roman" w:cs="Times New Roman" w:eastAsia="Times New Roman" w:hAnsi="Times New Roman"/>
          <w:sz w:val="18"/>
          <w:szCs w:val="18"/>
          <w:color w:val="F37F00"/>
        </w:rPr>
      </w:pPr>
    </w:p>
    <w:p>
      <w:pPr>
        <w:ind w:left="320" w:right="300" w:hanging="309"/>
        <w:spacing w:after="0" w:line="252" w:lineRule="auto"/>
        <w:tabs>
          <w:tab w:leader="none" w:pos="320" w:val="left"/>
        </w:tabs>
        <w:numPr>
          <w:ilvl w:val="0"/>
          <w:numId w:val="20"/>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reviewing and recommending changes to AutoZone’s Articles of Incorporation, By-Laws, and Corporate Governance Principles with the aim of best serving the interests of the stockholders; and</w:t>
      </w:r>
    </w:p>
    <w:p>
      <w:pPr>
        <w:spacing w:after="0" w:line="8" w:lineRule="exact"/>
        <w:rPr>
          <w:rFonts w:ascii="Times New Roman" w:cs="Times New Roman" w:eastAsia="Times New Roman" w:hAnsi="Times New Roman"/>
          <w:sz w:val="18"/>
          <w:szCs w:val="18"/>
          <w:color w:val="F37F00"/>
        </w:rPr>
      </w:pPr>
    </w:p>
    <w:p>
      <w:pPr>
        <w:ind w:left="320" w:right="840" w:hanging="309"/>
        <w:spacing w:after="0" w:line="270" w:lineRule="auto"/>
        <w:tabs>
          <w:tab w:leader="none" w:pos="320" w:val="left"/>
        </w:tabs>
        <w:numPr>
          <w:ilvl w:val="0"/>
          <w:numId w:val="20"/>
        </w:numPr>
        <w:rPr>
          <w:rFonts w:ascii="Times New Roman" w:cs="Times New Roman" w:eastAsia="Times New Roman" w:hAnsi="Times New Roman"/>
          <w:sz w:val="18"/>
          <w:szCs w:val="18"/>
          <w:color w:val="F37F00"/>
        </w:rPr>
      </w:pPr>
      <w:r>
        <w:rPr>
          <w:rFonts w:ascii="Arial" w:cs="Arial" w:eastAsia="Arial" w:hAnsi="Arial"/>
          <w:sz w:val="18"/>
          <w:szCs w:val="18"/>
          <w:color w:val="202124"/>
        </w:rPr>
        <w:t>reporting routinely to the Board and making recommendations on these matters.</w:t>
      </w:r>
    </w:p>
    <w:p>
      <w:pPr>
        <w:spacing w:after="0" w:line="200" w:lineRule="exact"/>
        <w:rPr>
          <w:sz w:val="20"/>
          <w:szCs w:val="20"/>
          <w:color w:val="auto"/>
        </w:rPr>
      </w:pPr>
    </w:p>
    <w:p>
      <w:pPr>
        <w:sectPr>
          <w:pgSz w:w="11900" w:h="16838" w:orient="portrait"/>
          <w:cols w:equalWidth="0" w:num="2">
            <w:col w:w="3040" w:space="480"/>
            <w:col w:w="6840"/>
          </w:cols>
          <w:pgMar w:left="440" w:top="10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12   </w:t>
      </w:r>
      <w:r>
        <w:rPr>
          <w:sz w:val="1"/>
          <w:szCs w:val="1"/>
          <w:color w:val="auto"/>
        </w:rPr>
        <w:drawing>
          <wp:inline distT="0" distB="0" distL="0" distR="0">
            <wp:extent cx="116586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8" w:right="109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Board Composition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PERSONAL CHARACTERISTICS AND CORE COMPETENCIES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The Board believes each individual director should possess certain personal characteristics, and that the Board as a whole should possess certain core competencies. Such personal characteristics are integrity and accountability, informed judgment, financial literacy, mature confidence, high performance standards, and passion. They should also have demonstrated the confidence to be truly independent, as well as be business savvy, have an owner orientation and have a genuine interest in AutoZone. Core competencies of the Board as a whole, include accounting and finance, business judgment, management expertise, crisis response, industry knowledge, international markets, strategy and vision. These characteristics and competencies are set forth in more detail in AutoZone’s Corporate Governance Principles, which are available on AutoZone’s Investor Relations page on our website at www.autozone.com.</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DIRECTOR SKILLS</w:t>
      </w:r>
    </w:p>
    <w:p>
      <w:pPr>
        <w:spacing w:after="0" w:line="171" w:lineRule="exact"/>
        <w:rPr>
          <w:sz w:val="20"/>
          <w:szCs w:val="20"/>
          <w:color w:val="auto"/>
        </w:rPr>
      </w:pPr>
    </w:p>
    <w:p>
      <w:pPr>
        <w:ind w:left="640" w:right="260"/>
        <w:spacing w:after="0" w:line="244" w:lineRule="auto"/>
        <w:rPr>
          <w:sz w:val="20"/>
          <w:szCs w:val="20"/>
          <w:color w:val="auto"/>
        </w:rPr>
      </w:pPr>
      <w:r>
        <w:rPr>
          <w:rFonts w:ascii="Arial" w:cs="Arial" w:eastAsia="Arial" w:hAnsi="Arial"/>
          <w:sz w:val="18"/>
          <w:szCs w:val="18"/>
          <w:color w:val="202124"/>
        </w:rPr>
        <w:t>The Board believes it can be most effective in exercising its responsibilities when it is made up of individuals who collectively possess a diverse, yet balanced, set of skills, qualifications and expertise gained from different experiences and professional settings. As such, the Nominating and Corporate Governance Committee annually reviews the skills represented on the Board, which then provides a foundation for Board refreshment, Board succession planning and director nominations.</w:t>
      </w:r>
    </w:p>
    <w:p>
      <w:pPr>
        <w:spacing w:after="0" w:line="149" w:lineRule="exact"/>
        <w:rPr>
          <w:sz w:val="20"/>
          <w:szCs w:val="20"/>
          <w:color w:val="auto"/>
        </w:rPr>
      </w:pPr>
    </w:p>
    <w:p>
      <w:pPr>
        <w:ind w:left="640" w:right="200"/>
        <w:spacing w:after="0" w:line="259" w:lineRule="auto"/>
        <w:rPr>
          <w:sz w:val="20"/>
          <w:szCs w:val="20"/>
          <w:color w:val="auto"/>
        </w:rPr>
      </w:pPr>
      <w:r>
        <w:rPr>
          <w:rFonts w:ascii="Arial" w:cs="Arial" w:eastAsia="Arial" w:hAnsi="Arial"/>
          <w:sz w:val="17"/>
          <w:szCs w:val="17"/>
          <w:color w:val="202124"/>
        </w:rPr>
        <w:t>In 2023, the Nominating and Corporate Governance Committee refreshed its method of reviewing and evaluating Board skills in an effort to (i) develop a more meaningful skills matrix that reflects each individual’s strengths and expertise and</w:t>
      </w:r>
    </w:p>
    <w:p>
      <w:pPr>
        <w:spacing w:after="0" w:line="1" w:lineRule="exact"/>
        <w:rPr>
          <w:sz w:val="20"/>
          <w:szCs w:val="20"/>
          <w:color w:val="auto"/>
        </w:rPr>
      </w:pPr>
    </w:p>
    <w:p>
      <w:pPr>
        <w:ind w:left="640" w:firstLine="4"/>
        <w:spacing w:after="0" w:line="236" w:lineRule="auto"/>
        <w:tabs>
          <w:tab w:leader="none" w:pos="890" w:val="left"/>
        </w:tabs>
        <w:numPr>
          <w:ilvl w:val="0"/>
          <w:numId w:val="21"/>
        </w:numPr>
        <w:rPr>
          <w:rFonts w:ascii="Arial" w:cs="Arial" w:eastAsia="Arial" w:hAnsi="Arial"/>
          <w:sz w:val="18"/>
          <w:szCs w:val="18"/>
          <w:color w:val="202124"/>
        </w:rPr>
      </w:pPr>
      <w:r>
        <w:rPr>
          <w:rFonts w:ascii="Arial" w:cs="Arial" w:eastAsia="Arial" w:hAnsi="Arial"/>
          <w:sz w:val="18"/>
          <w:szCs w:val="18"/>
          <w:color w:val="202124"/>
        </w:rPr>
        <w:t>better communicate to stockholders the key qualifications that each director nominee brings to the Board. In doing so, the Committee identified a certain set of “core skills” which nearly all directors possess because these skills are integral to carrying out the Board’s responsibilities. In addition to these “core skills,” the Committee identified certain “distinct strengths” which our directors possess. These strengths allow our Board, as a whole, to offer a comprehensive set of experiences, perspectives and expertise to guide our decision making. In some instances, we have intentionally sought more candidates with a specific attribute, such as CEO experience or retail industry experience, because such experience is particularly relevant to our business and valuable to our Board. In other instances, we have considered a candidate as a whole and concluded that he or she presents a variety of strengths that add to the richness of our Board. As a result, we may have varying numbers of Board members with each particular strength or attribute; but it is our belief that all of these skills and experiences are of value and together allow for more thoughtful dialog and more effective execution of Board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13</w:t>
            </w:r>
          </w:p>
        </w:tc>
      </w:tr>
    </w:tbl>
    <w:p>
      <w:pPr>
        <w:sectPr>
          <w:pgSz w:w="11900" w:h="16838" w:orient="portrait"/>
          <w:cols w:equalWidth="0" w:num="1">
            <w:col w:w="10360"/>
          </w:cols>
          <w:pgMar w:left="440" w:top="106" w:right="1099" w:bottom="1440" w:gutter="0" w:footer="0" w:header="0"/>
        </w:sectPr>
      </w:pPr>
    </w:p>
    <w:bookmarkStart w:id="16" w:name="page17"/>
    <w:bookmarkEnd w:id="1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50" w:type="dxa"/>
        <w:tblCellMar>
          <w:top w:w="0" w:type="dxa"/>
          <w:left w:w="0" w:type="dxa"/>
          <w:bottom w:w="0" w:type="dxa"/>
          <w:right w:w="0" w:type="dxa"/>
        </w:tblCellMar>
      </w:tblPr>
      <w:tr>
        <w:trPr>
          <w:trHeight w:val="330"/>
        </w:trPr>
        <w:tc>
          <w:tcPr>
            <w:tcW w:w="170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6"/>
                <w:szCs w:val="16"/>
                <w:b w:val="1"/>
                <w:bCs w:val="1"/>
                <w:color w:val="auto"/>
              </w:rPr>
              <w:t>Attribute</w:t>
            </w:r>
          </w:p>
        </w:tc>
        <w:tc>
          <w:tcPr>
            <w:tcW w:w="3060" w:type="dxa"/>
            <w:vAlign w:val="bottom"/>
            <w:tcBorders>
              <w:top w:val="single" w:sz="8" w:color="auto"/>
            </w:tcBorders>
            <w:shd w:val="clear" w:color="auto" w:fill="F2F2F2"/>
          </w:tcPr>
          <w:p>
            <w:pPr>
              <w:ind w:left="920"/>
              <w:spacing w:after="0"/>
              <w:rPr>
                <w:sz w:val="20"/>
                <w:szCs w:val="20"/>
                <w:color w:val="auto"/>
              </w:rPr>
            </w:pPr>
            <w:r>
              <w:rPr>
                <w:rFonts w:ascii="Arial" w:cs="Arial" w:eastAsia="Arial" w:hAnsi="Arial"/>
                <w:sz w:val="16"/>
                <w:szCs w:val="16"/>
                <w:b w:val="1"/>
                <w:bCs w:val="1"/>
                <w:color w:val="auto"/>
              </w:rPr>
              <w:t>What this means</w:t>
            </w:r>
          </w:p>
        </w:tc>
        <w:tc>
          <w:tcPr>
            <w:tcW w:w="48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6"/>
                <w:szCs w:val="16"/>
                <w:b w:val="1"/>
                <w:bCs w:val="1"/>
                <w:color w:val="auto"/>
              </w:rPr>
              <w:t>Why it’s valuable to AutoZone</w:t>
            </w:r>
          </w:p>
        </w:tc>
      </w:tr>
      <w:tr>
        <w:trPr>
          <w:trHeight w:val="109"/>
        </w:trPr>
        <w:tc>
          <w:tcPr>
            <w:tcW w:w="1700" w:type="dxa"/>
            <w:vAlign w:val="bottom"/>
            <w:tcBorders>
              <w:left w:val="single" w:sz="8" w:color="auto"/>
              <w:bottom w:val="single" w:sz="8" w:color="auto"/>
            </w:tcBorders>
          </w:tcPr>
          <w:p>
            <w:pPr>
              <w:spacing w:after="0"/>
              <w:rPr>
                <w:sz w:val="9"/>
                <w:szCs w:val="9"/>
                <w:color w:val="auto"/>
              </w:rPr>
            </w:pPr>
          </w:p>
        </w:tc>
        <w:tc>
          <w:tcPr>
            <w:tcW w:w="3060" w:type="dxa"/>
            <w:vAlign w:val="bottom"/>
            <w:tcBorders>
              <w:bottom w:val="single" w:sz="8" w:color="auto"/>
            </w:tcBorders>
            <w:shd w:val="clear" w:color="auto" w:fill="F2F2F2"/>
          </w:tcPr>
          <w:p>
            <w:pPr>
              <w:spacing w:after="0"/>
              <w:rPr>
                <w:sz w:val="9"/>
                <w:szCs w:val="9"/>
                <w:color w:val="auto"/>
              </w:rPr>
            </w:pPr>
          </w:p>
        </w:tc>
        <w:tc>
          <w:tcPr>
            <w:tcW w:w="4860" w:type="dxa"/>
            <w:vAlign w:val="bottom"/>
            <w:tcBorders>
              <w:bottom w:val="single" w:sz="8" w:color="auto"/>
              <w:right w:val="single" w:sz="8" w:color="auto"/>
            </w:tcBorders>
          </w:tcPr>
          <w:p>
            <w:pPr>
              <w:spacing w:after="0"/>
              <w:rPr>
                <w:sz w:val="9"/>
                <w:szCs w:val="9"/>
                <w:color w:val="auto"/>
              </w:rPr>
            </w:pPr>
          </w:p>
        </w:tc>
      </w:tr>
      <w:tr>
        <w:trPr>
          <w:trHeight w:val="254"/>
        </w:trPr>
        <w:tc>
          <w:tcPr>
            <w:tcW w:w="1700" w:type="dxa"/>
            <w:vAlign w:val="bottom"/>
            <w:tcBorders>
              <w:left w:val="single" w:sz="8" w:color="auto"/>
            </w:tcBorders>
            <w:shd w:val="clear" w:color="auto" w:fill="D9D9D9"/>
          </w:tcPr>
          <w:p>
            <w:pPr>
              <w:spacing w:after="0"/>
              <w:rPr>
                <w:sz w:val="22"/>
                <w:szCs w:val="22"/>
                <w:color w:val="auto"/>
              </w:rPr>
            </w:pPr>
          </w:p>
        </w:tc>
        <w:tc>
          <w:tcPr>
            <w:tcW w:w="7920" w:type="dxa"/>
            <w:vAlign w:val="bottom"/>
            <w:tcBorders>
              <w:right w:val="single" w:sz="8" w:color="auto"/>
            </w:tcBorders>
            <w:gridSpan w:val="2"/>
            <w:shd w:val="clear" w:color="auto" w:fill="D9D9D9"/>
          </w:tcPr>
          <w:p>
            <w:pPr>
              <w:ind w:left="2620"/>
              <w:spacing w:after="0"/>
              <w:rPr>
                <w:sz w:val="20"/>
                <w:szCs w:val="20"/>
                <w:color w:val="auto"/>
              </w:rPr>
            </w:pPr>
            <w:r>
              <w:rPr>
                <w:rFonts w:ascii="Arial" w:cs="Arial" w:eastAsia="Arial" w:hAnsi="Arial"/>
                <w:sz w:val="14"/>
                <w:szCs w:val="14"/>
                <w:b w:val="1"/>
                <w:bCs w:val="1"/>
                <w:color w:val="F37F00"/>
              </w:rPr>
              <w:t>CORE SKILLS</w:t>
            </w:r>
          </w:p>
        </w:tc>
      </w:tr>
      <w:tr>
        <w:trPr>
          <w:trHeight w:val="70"/>
        </w:trPr>
        <w:tc>
          <w:tcPr>
            <w:tcW w:w="1700" w:type="dxa"/>
            <w:vAlign w:val="bottom"/>
            <w:tcBorders>
              <w:left w:val="single" w:sz="8" w:color="auto"/>
              <w:bottom w:val="single" w:sz="8" w:color="808080"/>
            </w:tcBorders>
            <w:shd w:val="clear" w:color="auto" w:fill="D9D9D9"/>
          </w:tcPr>
          <w:p>
            <w:pPr>
              <w:spacing w:after="0"/>
              <w:rPr>
                <w:sz w:val="6"/>
                <w:szCs w:val="6"/>
                <w:color w:val="auto"/>
              </w:rPr>
            </w:pPr>
          </w:p>
        </w:tc>
        <w:tc>
          <w:tcPr>
            <w:tcW w:w="3060" w:type="dxa"/>
            <w:vAlign w:val="bottom"/>
            <w:tcBorders>
              <w:bottom w:val="single" w:sz="8" w:color="808080"/>
            </w:tcBorders>
            <w:shd w:val="clear" w:color="auto" w:fill="D9D9D9"/>
          </w:tcPr>
          <w:p>
            <w:pPr>
              <w:spacing w:after="0"/>
              <w:rPr>
                <w:sz w:val="6"/>
                <w:szCs w:val="6"/>
                <w:color w:val="auto"/>
              </w:rPr>
            </w:pPr>
          </w:p>
        </w:tc>
        <w:tc>
          <w:tcPr>
            <w:tcW w:w="4860" w:type="dxa"/>
            <w:vAlign w:val="bottom"/>
            <w:tcBorders>
              <w:bottom w:val="single" w:sz="8" w:color="808080"/>
              <w:right w:val="single" w:sz="8" w:color="auto"/>
            </w:tcBorders>
            <w:shd w:val="clear" w:color="auto" w:fill="D9D9D9"/>
          </w:tcPr>
          <w:p>
            <w:pPr>
              <w:spacing w:after="0"/>
              <w:rPr>
                <w:sz w:val="6"/>
                <w:szCs w:val="6"/>
                <w:color w:val="auto"/>
              </w:rPr>
            </w:pPr>
          </w:p>
        </w:tc>
      </w:tr>
      <w:tr>
        <w:trPr>
          <w:trHeight w:val="160"/>
        </w:trPr>
        <w:tc>
          <w:tcPr>
            <w:tcW w:w="1700" w:type="dxa"/>
            <w:vAlign w:val="bottom"/>
            <w:tcBorders>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Leadership</w:t>
            </w:r>
          </w:p>
        </w:tc>
        <w:tc>
          <w:tcPr>
            <w:tcW w:w="3060" w:type="dxa"/>
            <w:vAlign w:val="bottom"/>
            <w:shd w:val="clear" w:color="auto" w:fill="F3F3F3"/>
          </w:tcPr>
          <w:p>
            <w:pPr>
              <w:ind w:left="60"/>
              <w:spacing w:after="0" w:line="160" w:lineRule="exact"/>
              <w:rPr>
                <w:sz w:val="20"/>
                <w:szCs w:val="20"/>
                <w:color w:val="auto"/>
              </w:rPr>
            </w:pPr>
            <w:r>
              <w:rPr>
                <w:rFonts w:ascii="Arial" w:cs="Arial" w:eastAsia="Arial" w:hAnsi="Arial"/>
                <w:sz w:val="14"/>
                <w:szCs w:val="14"/>
                <w:color w:val="auto"/>
              </w:rPr>
              <w:t>Experience serving as a senior executive of a</w:t>
            </w:r>
          </w:p>
        </w:tc>
        <w:tc>
          <w:tcPr>
            <w:tcW w:w="486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Having proven successful leadership experience allows our Board to</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significant enterprise.</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guide, challenge and oversee management with thoughtful and practical</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insights and perspectives.</w:t>
            </w:r>
          </w:p>
        </w:tc>
      </w:tr>
      <w:tr>
        <w:trPr>
          <w:trHeight w:val="76"/>
        </w:trPr>
        <w:tc>
          <w:tcPr>
            <w:tcW w:w="1700" w:type="dxa"/>
            <w:vAlign w:val="bottom"/>
            <w:tcBorders>
              <w:left w:val="single" w:sz="8" w:color="auto"/>
            </w:tcBorders>
          </w:tcPr>
          <w:p>
            <w:pPr>
              <w:spacing w:after="0"/>
              <w:rPr>
                <w:sz w:val="6"/>
                <w:szCs w:val="6"/>
                <w:color w:val="auto"/>
              </w:rPr>
            </w:pPr>
          </w:p>
        </w:tc>
        <w:tc>
          <w:tcPr>
            <w:tcW w:w="3060" w:type="dxa"/>
            <w:vAlign w:val="bottom"/>
            <w:shd w:val="clear" w:color="auto" w:fill="F3F3F3"/>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Financial Literacy</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Ability to read and understand financial</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Financial literacy is a necessary attribute in order to provide meaningful</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statements, financial ratios and other indices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input on key business decisions and ensure we continue to drive long-</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for evaluating company performance.</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term stockholder value.</w:t>
            </w:r>
          </w:p>
        </w:tc>
      </w:tr>
      <w:tr>
        <w:trPr>
          <w:trHeight w:val="75"/>
        </w:trPr>
        <w:tc>
          <w:tcPr>
            <w:tcW w:w="1700" w:type="dxa"/>
            <w:vAlign w:val="bottom"/>
            <w:tcBorders>
              <w:left w:val="single" w:sz="8" w:color="auto"/>
            </w:tcBorders>
          </w:tcPr>
          <w:p>
            <w:pPr>
              <w:spacing w:after="0"/>
              <w:rPr>
                <w:sz w:val="6"/>
                <w:szCs w:val="6"/>
                <w:color w:val="auto"/>
              </w:rPr>
            </w:pPr>
          </w:p>
        </w:tc>
        <w:tc>
          <w:tcPr>
            <w:tcW w:w="3060" w:type="dxa"/>
            <w:vAlign w:val="bottom"/>
            <w:shd w:val="clear" w:color="auto" w:fill="F3F3F3"/>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Board Experience</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Experience sitting on the Board of a public</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Serving on another public company Board yields insights on trends and</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company, currently or previously.</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best practices regarding strategy, corporate governance, operations,</w:t>
            </w:r>
          </w:p>
        </w:tc>
      </w:tr>
      <w:tr>
        <w:trPr>
          <w:trHeight w:val="175"/>
        </w:trPr>
        <w:tc>
          <w:tcPr>
            <w:tcW w:w="1700" w:type="dxa"/>
            <w:vAlign w:val="bottom"/>
            <w:tcBorders>
              <w:left w:val="single" w:sz="8" w:color="auto"/>
            </w:tcBorders>
          </w:tcPr>
          <w:p>
            <w:pPr>
              <w:spacing w:after="0"/>
              <w:rPr>
                <w:sz w:val="15"/>
                <w:szCs w:val="15"/>
                <w:color w:val="auto"/>
              </w:rPr>
            </w:pPr>
          </w:p>
        </w:tc>
        <w:tc>
          <w:tcPr>
            <w:tcW w:w="3060" w:type="dxa"/>
            <w:vAlign w:val="bottom"/>
            <w:shd w:val="clear" w:color="auto" w:fill="F3F3F3"/>
          </w:tcPr>
          <w:p>
            <w:pPr>
              <w:spacing w:after="0"/>
              <w:rPr>
                <w:sz w:val="15"/>
                <w:szCs w:val="15"/>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customer insights, executive compensation, risk oversight and other</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matters impacting board effectiveness.</w:t>
            </w:r>
          </w:p>
        </w:tc>
      </w:tr>
      <w:tr>
        <w:trPr>
          <w:trHeight w:val="103"/>
        </w:trPr>
        <w:tc>
          <w:tcPr>
            <w:tcW w:w="1700" w:type="dxa"/>
            <w:vAlign w:val="bottom"/>
            <w:tcBorders>
              <w:left w:val="single" w:sz="8" w:color="auto"/>
            </w:tcBorders>
          </w:tcPr>
          <w:p>
            <w:pPr>
              <w:spacing w:after="0"/>
              <w:rPr>
                <w:sz w:val="8"/>
                <w:szCs w:val="8"/>
                <w:color w:val="auto"/>
              </w:rPr>
            </w:pPr>
          </w:p>
        </w:tc>
        <w:tc>
          <w:tcPr>
            <w:tcW w:w="3060" w:type="dxa"/>
            <w:vAlign w:val="bottom"/>
            <w:shd w:val="clear" w:color="auto" w:fill="F3F3F3"/>
          </w:tcPr>
          <w:p>
            <w:pPr>
              <w:spacing w:after="0"/>
              <w:rPr>
                <w:sz w:val="8"/>
                <w:szCs w:val="8"/>
                <w:color w:val="auto"/>
              </w:rPr>
            </w:pPr>
          </w:p>
        </w:tc>
        <w:tc>
          <w:tcPr>
            <w:tcW w:w="4860" w:type="dxa"/>
            <w:vAlign w:val="bottom"/>
            <w:tcBorders>
              <w:right w:val="single" w:sz="8" w:color="auto"/>
            </w:tcBorders>
          </w:tcPr>
          <w:p>
            <w:pPr>
              <w:spacing w:after="0"/>
              <w:rPr>
                <w:sz w:val="8"/>
                <w:szCs w:val="8"/>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Strategy &amp; Business</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Experience developing and executing upon</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A key function of the Board is to oversee strategy so that AutoZone is,</w:t>
            </w:r>
          </w:p>
        </w:tc>
      </w:tr>
      <w:tr>
        <w:trPr>
          <w:trHeight w:val="189"/>
        </w:trPr>
        <w:tc>
          <w:tcPr>
            <w:tcW w:w="170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Development</w:t>
            </w: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long-term strategic plans, growth strategies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remains, well-positioned for long-term, profitable growth and</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and capital allocation plans.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success.</w:t>
            </w:r>
          </w:p>
        </w:tc>
      </w:tr>
      <w:tr>
        <w:trPr>
          <w:trHeight w:val="76"/>
        </w:trPr>
        <w:tc>
          <w:tcPr>
            <w:tcW w:w="1700" w:type="dxa"/>
            <w:vAlign w:val="bottom"/>
            <w:tcBorders>
              <w:left w:val="single" w:sz="8" w:color="auto"/>
            </w:tcBorders>
          </w:tcPr>
          <w:p>
            <w:pPr>
              <w:spacing w:after="0"/>
              <w:rPr>
                <w:sz w:val="6"/>
                <w:szCs w:val="6"/>
                <w:color w:val="auto"/>
              </w:rPr>
            </w:pPr>
          </w:p>
        </w:tc>
        <w:tc>
          <w:tcPr>
            <w:tcW w:w="3060" w:type="dxa"/>
            <w:vAlign w:val="bottom"/>
            <w:shd w:val="clear" w:color="auto" w:fill="F3F3F3"/>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Risk Management</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Experience overseeing or managing</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Having first-hand experience identifying and managing risk equips the</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enterprise risk management or other</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Board to carry out its risk oversight function most effectively, whether</w:t>
            </w:r>
          </w:p>
        </w:tc>
      </w:tr>
      <w:tr>
        <w:trPr>
          <w:trHeight w:val="176"/>
        </w:trPr>
        <w:tc>
          <w:tcPr>
            <w:tcW w:w="1700" w:type="dxa"/>
            <w:vAlign w:val="bottom"/>
            <w:tcBorders>
              <w:left w:val="single" w:sz="8" w:color="auto"/>
            </w:tcBorders>
          </w:tcPr>
          <w:p>
            <w:pPr>
              <w:spacing w:after="0"/>
              <w:rPr>
                <w:sz w:val="15"/>
                <w:szCs w:val="15"/>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functions involving significant operational,</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such risks are overseen by the Board as a whole or by a particular</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financial or legal risk.</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Committee.</w:t>
            </w:r>
          </w:p>
        </w:tc>
      </w:tr>
      <w:tr>
        <w:trPr>
          <w:trHeight w:val="123"/>
        </w:trPr>
        <w:tc>
          <w:tcPr>
            <w:tcW w:w="1700" w:type="dxa"/>
            <w:vAlign w:val="bottom"/>
            <w:tcBorders>
              <w:left w:val="single" w:sz="8" w:color="auto"/>
              <w:bottom w:val="single" w:sz="8" w:color="auto"/>
            </w:tcBorders>
          </w:tcPr>
          <w:p>
            <w:pPr>
              <w:spacing w:after="0"/>
              <w:rPr>
                <w:sz w:val="10"/>
                <w:szCs w:val="10"/>
                <w:color w:val="auto"/>
              </w:rPr>
            </w:pPr>
          </w:p>
        </w:tc>
        <w:tc>
          <w:tcPr>
            <w:tcW w:w="3060" w:type="dxa"/>
            <w:vAlign w:val="bottom"/>
            <w:tcBorders>
              <w:bottom w:val="single" w:sz="8" w:color="auto"/>
            </w:tcBorders>
            <w:shd w:val="clear" w:color="auto" w:fill="F3F3F3"/>
          </w:tcPr>
          <w:p>
            <w:pPr>
              <w:spacing w:after="0"/>
              <w:rPr>
                <w:sz w:val="10"/>
                <w:szCs w:val="10"/>
                <w:color w:val="auto"/>
              </w:rPr>
            </w:pPr>
          </w:p>
        </w:tc>
        <w:tc>
          <w:tcPr>
            <w:tcW w:w="4860" w:type="dxa"/>
            <w:vAlign w:val="bottom"/>
            <w:tcBorders>
              <w:bottom w:val="single" w:sz="8" w:color="auto"/>
              <w:right w:val="single" w:sz="8" w:color="auto"/>
            </w:tcBorders>
          </w:tcPr>
          <w:p>
            <w:pPr>
              <w:spacing w:after="0"/>
              <w:rPr>
                <w:sz w:val="10"/>
                <w:szCs w:val="10"/>
                <w:color w:val="auto"/>
              </w:rPr>
            </w:pPr>
          </w:p>
        </w:tc>
      </w:tr>
      <w:tr>
        <w:trPr>
          <w:trHeight w:val="254"/>
        </w:trPr>
        <w:tc>
          <w:tcPr>
            <w:tcW w:w="1700" w:type="dxa"/>
            <w:vAlign w:val="bottom"/>
            <w:tcBorders>
              <w:left w:val="single" w:sz="8" w:color="auto"/>
            </w:tcBorders>
            <w:shd w:val="clear" w:color="auto" w:fill="D9D9D9"/>
          </w:tcPr>
          <w:p>
            <w:pPr>
              <w:spacing w:after="0"/>
              <w:rPr>
                <w:sz w:val="22"/>
                <w:szCs w:val="22"/>
                <w:color w:val="auto"/>
              </w:rPr>
            </w:pPr>
          </w:p>
        </w:tc>
        <w:tc>
          <w:tcPr>
            <w:tcW w:w="7920" w:type="dxa"/>
            <w:vAlign w:val="bottom"/>
            <w:tcBorders>
              <w:right w:val="single" w:sz="8" w:color="auto"/>
            </w:tcBorders>
            <w:gridSpan w:val="2"/>
            <w:shd w:val="clear" w:color="auto" w:fill="D9D9D9"/>
          </w:tcPr>
          <w:p>
            <w:pPr>
              <w:ind w:left="2300"/>
              <w:spacing w:after="0"/>
              <w:rPr>
                <w:sz w:val="20"/>
                <w:szCs w:val="20"/>
                <w:color w:val="auto"/>
              </w:rPr>
            </w:pPr>
            <w:r>
              <w:rPr>
                <w:rFonts w:ascii="Arial" w:cs="Arial" w:eastAsia="Arial" w:hAnsi="Arial"/>
                <w:sz w:val="14"/>
                <w:szCs w:val="14"/>
                <w:b w:val="1"/>
                <w:bCs w:val="1"/>
                <w:color w:val="F37F00"/>
              </w:rPr>
              <w:t>DISTINCT STRENGTHS</w:t>
            </w:r>
          </w:p>
        </w:tc>
      </w:tr>
      <w:tr>
        <w:trPr>
          <w:trHeight w:val="70"/>
        </w:trPr>
        <w:tc>
          <w:tcPr>
            <w:tcW w:w="1700" w:type="dxa"/>
            <w:vAlign w:val="bottom"/>
            <w:tcBorders>
              <w:left w:val="single" w:sz="8" w:color="auto"/>
              <w:bottom w:val="single" w:sz="8" w:color="808080"/>
            </w:tcBorders>
            <w:shd w:val="clear" w:color="auto" w:fill="D9D9D9"/>
          </w:tcPr>
          <w:p>
            <w:pPr>
              <w:spacing w:after="0"/>
              <w:rPr>
                <w:sz w:val="6"/>
                <w:szCs w:val="6"/>
                <w:color w:val="auto"/>
              </w:rPr>
            </w:pPr>
          </w:p>
        </w:tc>
        <w:tc>
          <w:tcPr>
            <w:tcW w:w="3060" w:type="dxa"/>
            <w:vAlign w:val="bottom"/>
            <w:tcBorders>
              <w:bottom w:val="single" w:sz="8" w:color="808080"/>
            </w:tcBorders>
            <w:shd w:val="clear" w:color="auto" w:fill="D9D9D9"/>
          </w:tcPr>
          <w:p>
            <w:pPr>
              <w:spacing w:after="0"/>
              <w:rPr>
                <w:sz w:val="6"/>
                <w:szCs w:val="6"/>
                <w:color w:val="auto"/>
              </w:rPr>
            </w:pPr>
          </w:p>
        </w:tc>
        <w:tc>
          <w:tcPr>
            <w:tcW w:w="4860" w:type="dxa"/>
            <w:vAlign w:val="bottom"/>
            <w:tcBorders>
              <w:bottom w:val="single" w:sz="8" w:color="808080"/>
              <w:right w:val="single" w:sz="8" w:color="auto"/>
            </w:tcBorders>
            <w:shd w:val="clear" w:color="auto" w:fill="D9D9D9"/>
          </w:tcPr>
          <w:p>
            <w:pPr>
              <w:spacing w:after="0"/>
              <w:rPr>
                <w:sz w:val="6"/>
                <w:szCs w:val="6"/>
                <w:color w:val="auto"/>
              </w:rPr>
            </w:pPr>
          </w:p>
        </w:tc>
      </w:tr>
      <w:tr>
        <w:trPr>
          <w:trHeight w:val="160"/>
        </w:trPr>
        <w:tc>
          <w:tcPr>
            <w:tcW w:w="1700" w:type="dxa"/>
            <w:vAlign w:val="bottom"/>
            <w:tcBorders>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Retail &amp; Consumer</w:t>
            </w:r>
          </w:p>
        </w:tc>
        <w:tc>
          <w:tcPr>
            <w:tcW w:w="3060" w:type="dxa"/>
            <w:vAlign w:val="bottom"/>
            <w:shd w:val="clear" w:color="auto" w:fill="F3F3F3"/>
          </w:tcPr>
          <w:p>
            <w:pPr>
              <w:ind w:left="60"/>
              <w:spacing w:after="0" w:line="160" w:lineRule="exact"/>
              <w:rPr>
                <w:sz w:val="20"/>
                <w:szCs w:val="20"/>
                <w:color w:val="auto"/>
              </w:rPr>
            </w:pPr>
            <w:r>
              <w:rPr>
                <w:rFonts w:ascii="Arial" w:cs="Arial" w:eastAsia="Arial" w:hAnsi="Arial"/>
                <w:sz w:val="14"/>
                <w:szCs w:val="14"/>
                <w:color w:val="202124"/>
              </w:rPr>
              <w:t>Experience at a retailer or other consumer</w:t>
            </w:r>
          </w:p>
        </w:tc>
        <w:tc>
          <w:tcPr>
            <w:tcW w:w="486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4"/>
                <w:szCs w:val="14"/>
                <w:color w:val="202124"/>
              </w:rPr>
              <w:t>We greatly value the experiences and learnings of other retailers and</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202124"/>
              </w:rPr>
              <w:t>facing company, such as food and beverage</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consumer facing businesses, whether it relates to driving operational</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202124"/>
              </w:rPr>
              <w:t>or other consumer products.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efficiencies, building customer loyalty or sourcing the best merchandise.</w:t>
            </w:r>
          </w:p>
        </w:tc>
      </w:tr>
      <w:tr>
        <w:trPr>
          <w:trHeight w:val="76"/>
        </w:trPr>
        <w:tc>
          <w:tcPr>
            <w:tcW w:w="1700" w:type="dxa"/>
            <w:vAlign w:val="bottom"/>
            <w:tcBorders>
              <w:left w:val="single" w:sz="8" w:color="auto"/>
            </w:tcBorders>
          </w:tcPr>
          <w:p>
            <w:pPr>
              <w:spacing w:after="0"/>
              <w:rPr>
                <w:sz w:val="6"/>
                <w:szCs w:val="6"/>
                <w:color w:val="auto"/>
              </w:rPr>
            </w:pPr>
          </w:p>
        </w:tc>
        <w:tc>
          <w:tcPr>
            <w:tcW w:w="3060" w:type="dxa"/>
            <w:vAlign w:val="bottom"/>
            <w:shd w:val="clear" w:color="auto" w:fill="F3F3F3"/>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International</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202124"/>
              </w:rPr>
              <w:t>Experience with international operations or</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202124"/>
              </w:rPr>
              <w:t>Managing operations in different countries presents unique and complex</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202124"/>
              </w:rPr>
              <w:t>expansion into new international markets.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challenges. Directors with relevant experience can offer considerable</w:t>
            </w:r>
          </w:p>
        </w:tc>
      </w:tr>
      <w:tr>
        <w:trPr>
          <w:trHeight w:val="175"/>
        </w:trPr>
        <w:tc>
          <w:tcPr>
            <w:tcW w:w="1700" w:type="dxa"/>
            <w:vAlign w:val="bottom"/>
            <w:tcBorders>
              <w:left w:val="single" w:sz="8" w:color="auto"/>
            </w:tcBorders>
          </w:tcPr>
          <w:p>
            <w:pPr>
              <w:spacing w:after="0"/>
              <w:rPr>
                <w:sz w:val="15"/>
                <w:szCs w:val="15"/>
                <w:color w:val="auto"/>
              </w:rPr>
            </w:pPr>
          </w:p>
        </w:tc>
        <w:tc>
          <w:tcPr>
            <w:tcW w:w="3060" w:type="dxa"/>
            <w:vAlign w:val="bottom"/>
            <w:shd w:val="clear" w:color="auto" w:fill="F3F3F3"/>
          </w:tcPr>
          <w:p>
            <w:pPr>
              <w:spacing w:after="0"/>
              <w:rPr>
                <w:sz w:val="15"/>
                <w:szCs w:val="15"/>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insights as we continue to improve and expand our international</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operations.</w:t>
            </w:r>
          </w:p>
        </w:tc>
      </w:tr>
      <w:tr>
        <w:trPr>
          <w:trHeight w:val="103"/>
        </w:trPr>
        <w:tc>
          <w:tcPr>
            <w:tcW w:w="1700" w:type="dxa"/>
            <w:vAlign w:val="bottom"/>
            <w:tcBorders>
              <w:left w:val="single" w:sz="8" w:color="auto"/>
            </w:tcBorders>
          </w:tcPr>
          <w:p>
            <w:pPr>
              <w:spacing w:after="0"/>
              <w:rPr>
                <w:sz w:val="8"/>
                <w:szCs w:val="8"/>
                <w:color w:val="auto"/>
              </w:rPr>
            </w:pPr>
          </w:p>
        </w:tc>
        <w:tc>
          <w:tcPr>
            <w:tcW w:w="3060" w:type="dxa"/>
            <w:vAlign w:val="bottom"/>
            <w:shd w:val="clear" w:color="auto" w:fill="F3F3F3"/>
          </w:tcPr>
          <w:p>
            <w:pPr>
              <w:spacing w:after="0"/>
              <w:rPr>
                <w:sz w:val="8"/>
                <w:szCs w:val="8"/>
                <w:color w:val="auto"/>
              </w:rPr>
            </w:pPr>
          </w:p>
        </w:tc>
        <w:tc>
          <w:tcPr>
            <w:tcW w:w="4860" w:type="dxa"/>
            <w:vAlign w:val="bottom"/>
            <w:tcBorders>
              <w:right w:val="single" w:sz="8" w:color="auto"/>
            </w:tcBorders>
          </w:tcPr>
          <w:p>
            <w:pPr>
              <w:spacing w:after="0"/>
              <w:rPr>
                <w:sz w:val="8"/>
                <w:szCs w:val="8"/>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Technology</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202124"/>
              </w:rPr>
              <w:t>Experience with assessing opportunities and</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202124"/>
              </w:rPr>
              <w:t>Knowledge or experience with new and emerging technologies provides</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202124"/>
              </w:rPr>
              <w:t>risks of new technologies and digital</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valuable perspectives as we develop our omni-channel strategy, build out</w:t>
            </w:r>
          </w:p>
        </w:tc>
      </w:tr>
      <w:tr>
        <w:trPr>
          <w:trHeight w:val="175"/>
        </w:trPr>
        <w:tc>
          <w:tcPr>
            <w:tcW w:w="1700" w:type="dxa"/>
            <w:vAlign w:val="bottom"/>
            <w:tcBorders>
              <w:left w:val="single" w:sz="8" w:color="auto"/>
            </w:tcBorders>
          </w:tcPr>
          <w:p>
            <w:pPr>
              <w:spacing w:after="0"/>
              <w:rPr>
                <w:sz w:val="15"/>
                <w:szCs w:val="15"/>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202124"/>
              </w:rPr>
              <w:t>platforms.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our technology infrastructure, manage our IT investments and seek to</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mitigate cybersecurity and other IT-related risks.</w:t>
            </w:r>
          </w:p>
        </w:tc>
      </w:tr>
      <w:tr>
        <w:trPr>
          <w:trHeight w:val="103"/>
        </w:trPr>
        <w:tc>
          <w:tcPr>
            <w:tcW w:w="1700" w:type="dxa"/>
            <w:vAlign w:val="bottom"/>
            <w:tcBorders>
              <w:left w:val="single" w:sz="8" w:color="auto"/>
            </w:tcBorders>
          </w:tcPr>
          <w:p>
            <w:pPr>
              <w:spacing w:after="0"/>
              <w:rPr>
                <w:sz w:val="8"/>
                <w:szCs w:val="8"/>
                <w:color w:val="auto"/>
              </w:rPr>
            </w:pPr>
          </w:p>
        </w:tc>
        <w:tc>
          <w:tcPr>
            <w:tcW w:w="3060" w:type="dxa"/>
            <w:vAlign w:val="bottom"/>
            <w:shd w:val="clear" w:color="auto" w:fill="F3F3F3"/>
          </w:tcPr>
          <w:p>
            <w:pPr>
              <w:spacing w:after="0"/>
              <w:rPr>
                <w:sz w:val="8"/>
                <w:szCs w:val="8"/>
                <w:color w:val="auto"/>
              </w:rPr>
            </w:pPr>
          </w:p>
        </w:tc>
        <w:tc>
          <w:tcPr>
            <w:tcW w:w="4860" w:type="dxa"/>
            <w:vAlign w:val="bottom"/>
            <w:tcBorders>
              <w:right w:val="single" w:sz="8" w:color="auto"/>
            </w:tcBorders>
          </w:tcPr>
          <w:p>
            <w:pPr>
              <w:spacing w:after="0"/>
              <w:rPr>
                <w:sz w:val="8"/>
                <w:szCs w:val="8"/>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CEO Experience</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Experience serving as the senior most leader</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Directors who have served as their organization’s CEO or senior most</w:t>
            </w:r>
          </w:p>
        </w:tc>
      </w:tr>
      <w:tr>
        <w:trPr>
          <w:trHeight w:val="176"/>
        </w:trPr>
        <w:tc>
          <w:tcPr>
            <w:tcW w:w="1700" w:type="dxa"/>
            <w:vAlign w:val="bottom"/>
            <w:tcBorders>
              <w:left w:val="single" w:sz="8" w:color="auto"/>
            </w:tcBorders>
          </w:tcPr>
          <w:p>
            <w:pPr>
              <w:spacing w:after="0"/>
              <w:rPr>
                <w:sz w:val="15"/>
                <w:szCs w:val="15"/>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of an organization.</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leader have a unique appreciation for the challenges attendant to the</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role, such as building and leading a strong management team and</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balancing the interests of numerous stakeholders.</w:t>
            </w:r>
          </w:p>
        </w:tc>
      </w:tr>
      <w:tr>
        <w:trPr>
          <w:trHeight w:val="103"/>
        </w:trPr>
        <w:tc>
          <w:tcPr>
            <w:tcW w:w="1700" w:type="dxa"/>
            <w:vAlign w:val="bottom"/>
            <w:tcBorders>
              <w:left w:val="single" w:sz="8" w:color="auto"/>
            </w:tcBorders>
          </w:tcPr>
          <w:p>
            <w:pPr>
              <w:spacing w:after="0"/>
              <w:rPr>
                <w:sz w:val="8"/>
                <w:szCs w:val="8"/>
                <w:color w:val="auto"/>
              </w:rPr>
            </w:pPr>
          </w:p>
        </w:tc>
        <w:tc>
          <w:tcPr>
            <w:tcW w:w="3060" w:type="dxa"/>
            <w:vAlign w:val="bottom"/>
            <w:shd w:val="clear" w:color="auto" w:fill="F3F3F3"/>
          </w:tcPr>
          <w:p>
            <w:pPr>
              <w:spacing w:after="0"/>
              <w:rPr>
                <w:sz w:val="8"/>
                <w:szCs w:val="8"/>
                <w:color w:val="auto"/>
              </w:rPr>
            </w:pPr>
          </w:p>
        </w:tc>
        <w:tc>
          <w:tcPr>
            <w:tcW w:w="4860" w:type="dxa"/>
            <w:vAlign w:val="bottom"/>
            <w:tcBorders>
              <w:right w:val="single" w:sz="8" w:color="auto"/>
            </w:tcBorders>
          </w:tcPr>
          <w:p>
            <w:pPr>
              <w:spacing w:after="0"/>
              <w:rPr>
                <w:sz w:val="8"/>
                <w:szCs w:val="8"/>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Financial Expertise</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Proficiency in complex financial planning,</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Directors with deep financial expertise can offer significant insights and</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capital allocation and/or financial reporting</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perspectives on our efforts to invest in sustained, profitable growth, while</w:t>
            </w:r>
          </w:p>
        </w:tc>
      </w:tr>
      <w:tr>
        <w:trPr>
          <w:trHeight w:val="175"/>
        </w:trPr>
        <w:tc>
          <w:tcPr>
            <w:tcW w:w="1700" w:type="dxa"/>
            <w:vAlign w:val="bottom"/>
            <w:tcBorders>
              <w:left w:val="single" w:sz="8" w:color="auto"/>
            </w:tcBorders>
          </w:tcPr>
          <w:p>
            <w:pPr>
              <w:spacing w:after="0"/>
              <w:rPr>
                <w:sz w:val="15"/>
                <w:szCs w:val="15"/>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processes.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also challenging us to build robust financial controls and to manage</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actual and potential risks to the business.</w:t>
            </w:r>
          </w:p>
        </w:tc>
      </w:tr>
      <w:tr>
        <w:trPr>
          <w:trHeight w:val="103"/>
        </w:trPr>
        <w:tc>
          <w:tcPr>
            <w:tcW w:w="1700" w:type="dxa"/>
            <w:vAlign w:val="bottom"/>
            <w:tcBorders>
              <w:left w:val="single" w:sz="8" w:color="auto"/>
            </w:tcBorders>
          </w:tcPr>
          <w:p>
            <w:pPr>
              <w:spacing w:after="0"/>
              <w:rPr>
                <w:sz w:val="8"/>
                <w:szCs w:val="8"/>
                <w:color w:val="auto"/>
              </w:rPr>
            </w:pPr>
          </w:p>
        </w:tc>
        <w:tc>
          <w:tcPr>
            <w:tcW w:w="3060" w:type="dxa"/>
            <w:vAlign w:val="bottom"/>
            <w:shd w:val="clear" w:color="auto" w:fill="F3F3F3"/>
          </w:tcPr>
          <w:p>
            <w:pPr>
              <w:spacing w:after="0"/>
              <w:rPr>
                <w:sz w:val="8"/>
                <w:szCs w:val="8"/>
                <w:color w:val="auto"/>
              </w:rPr>
            </w:pPr>
          </w:p>
        </w:tc>
        <w:tc>
          <w:tcPr>
            <w:tcW w:w="4860" w:type="dxa"/>
            <w:vAlign w:val="bottom"/>
            <w:tcBorders>
              <w:right w:val="single" w:sz="8" w:color="auto"/>
            </w:tcBorders>
          </w:tcPr>
          <w:p>
            <w:pPr>
              <w:spacing w:after="0"/>
              <w:rPr>
                <w:sz w:val="8"/>
                <w:szCs w:val="8"/>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Business to Business</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Expertise in developing effective B2B go-to-</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Directors with strong B2B experience can deliver meaningful guidance</w:t>
            </w:r>
          </w:p>
        </w:tc>
      </w:tr>
      <w:tr>
        <w:trPr>
          <w:trHeight w:val="189"/>
        </w:trPr>
        <w:tc>
          <w:tcPr>
            <w:tcW w:w="170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(“B2B”)</w:t>
            </w: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market strategies.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learnings as we aim to profitably increase our market share in the</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commercial auto parts business domestically and internationally.</w:t>
            </w:r>
          </w:p>
        </w:tc>
      </w:tr>
      <w:tr>
        <w:trPr>
          <w:trHeight w:val="76"/>
        </w:trPr>
        <w:tc>
          <w:tcPr>
            <w:tcW w:w="1700" w:type="dxa"/>
            <w:vAlign w:val="bottom"/>
            <w:tcBorders>
              <w:left w:val="single" w:sz="8" w:color="auto"/>
            </w:tcBorders>
          </w:tcPr>
          <w:p>
            <w:pPr>
              <w:spacing w:after="0"/>
              <w:rPr>
                <w:sz w:val="6"/>
                <w:szCs w:val="6"/>
                <w:color w:val="auto"/>
              </w:rPr>
            </w:pPr>
          </w:p>
        </w:tc>
        <w:tc>
          <w:tcPr>
            <w:tcW w:w="3060" w:type="dxa"/>
            <w:vAlign w:val="bottom"/>
            <w:shd w:val="clear" w:color="auto" w:fill="F3F3F3"/>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Supply Chain</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auto"/>
              </w:rPr>
              <w:t>Experience with managing and designing</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auto"/>
              </w:rPr>
              <w:t>The efficiency of our supply chain and distribution network is critical to</w:t>
            </w:r>
          </w:p>
        </w:tc>
      </w:tr>
      <w:tr>
        <w:trPr>
          <w:trHeight w:val="189"/>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supply chains, ranging from global footprints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our success both in the near-term and as we strategically position the</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auto"/>
              </w:rPr>
              <w:t>to last mile solutions.</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Company for sustainable, long-term growth.</w:t>
            </w:r>
          </w:p>
        </w:tc>
      </w:tr>
      <w:tr>
        <w:trPr>
          <w:trHeight w:val="75"/>
        </w:trPr>
        <w:tc>
          <w:tcPr>
            <w:tcW w:w="1700" w:type="dxa"/>
            <w:vAlign w:val="bottom"/>
            <w:tcBorders>
              <w:left w:val="single" w:sz="8" w:color="auto"/>
            </w:tcBorders>
          </w:tcPr>
          <w:p>
            <w:pPr>
              <w:spacing w:after="0"/>
              <w:rPr>
                <w:sz w:val="6"/>
                <w:szCs w:val="6"/>
                <w:color w:val="auto"/>
              </w:rPr>
            </w:pPr>
          </w:p>
        </w:tc>
        <w:tc>
          <w:tcPr>
            <w:tcW w:w="3060" w:type="dxa"/>
            <w:vAlign w:val="bottom"/>
            <w:shd w:val="clear" w:color="auto" w:fill="F3F3F3"/>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r>
      <w:tr>
        <w:trPr>
          <w:trHeight w:val="160"/>
        </w:trPr>
        <w:tc>
          <w:tcPr>
            <w:tcW w:w="1700" w:type="dxa"/>
            <w:vAlign w:val="bottom"/>
            <w:tcBorders>
              <w:top w:val="single" w:sz="8" w:color="808080"/>
              <w:lef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Human Capital</w:t>
            </w:r>
          </w:p>
        </w:tc>
        <w:tc>
          <w:tcPr>
            <w:tcW w:w="3060" w:type="dxa"/>
            <w:vAlign w:val="bottom"/>
            <w:tcBorders>
              <w:top w:val="single" w:sz="8" w:color="808080"/>
            </w:tcBorders>
            <w:shd w:val="clear" w:color="auto" w:fill="F3F3F3"/>
          </w:tcPr>
          <w:p>
            <w:pPr>
              <w:ind w:left="60"/>
              <w:spacing w:after="0" w:line="160" w:lineRule="exact"/>
              <w:rPr>
                <w:sz w:val="20"/>
                <w:szCs w:val="20"/>
                <w:color w:val="auto"/>
              </w:rPr>
            </w:pPr>
            <w:r>
              <w:rPr>
                <w:rFonts w:ascii="Arial" w:cs="Arial" w:eastAsia="Arial" w:hAnsi="Arial"/>
                <w:sz w:val="14"/>
                <w:szCs w:val="14"/>
                <w:color w:val="202124"/>
              </w:rPr>
              <w:t>Experience managing a large or global</w:t>
            </w:r>
          </w:p>
        </w:tc>
        <w:tc>
          <w:tcPr>
            <w:tcW w:w="4860" w:type="dxa"/>
            <w:vAlign w:val="bottom"/>
            <w:tcBorders>
              <w:top w:val="single" w:sz="8" w:color="808080"/>
              <w:right w:val="single" w:sz="8" w:color="auto"/>
            </w:tcBorders>
          </w:tcPr>
          <w:p>
            <w:pPr>
              <w:ind w:left="60"/>
              <w:spacing w:after="0" w:line="160" w:lineRule="exact"/>
              <w:rPr>
                <w:sz w:val="20"/>
                <w:szCs w:val="20"/>
                <w:color w:val="auto"/>
              </w:rPr>
            </w:pPr>
            <w:r>
              <w:rPr>
                <w:rFonts w:ascii="Arial" w:cs="Arial" w:eastAsia="Arial" w:hAnsi="Arial"/>
                <w:sz w:val="14"/>
                <w:szCs w:val="14"/>
                <w:color w:val="202124"/>
              </w:rPr>
              <w:t>As a global enterprise with approximately 132,000 AutoZoners, we are a</w:t>
            </w:r>
          </w:p>
        </w:tc>
      </w:tr>
      <w:tr>
        <w:trPr>
          <w:trHeight w:val="189"/>
        </w:trPr>
        <w:tc>
          <w:tcPr>
            <w:tcW w:w="170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Management</w:t>
            </w:r>
          </w:p>
        </w:tc>
        <w:tc>
          <w:tcPr>
            <w:tcW w:w="3060" w:type="dxa"/>
            <w:vAlign w:val="bottom"/>
            <w:shd w:val="clear" w:color="auto" w:fill="F3F3F3"/>
          </w:tcPr>
          <w:p>
            <w:pPr>
              <w:ind w:left="60"/>
              <w:spacing w:after="0"/>
              <w:rPr>
                <w:sz w:val="20"/>
                <w:szCs w:val="20"/>
                <w:color w:val="auto"/>
              </w:rPr>
            </w:pPr>
            <w:r>
              <w:rPr>
                <w:rFonts w:ascii="Arial" w:cs="Arial" w:eastAsia="Arial" w:hAnsi="Arial"/>
                <w:sz w:val="14"/>
                <w:szCs w:val="14"/>
                <w:color w:val="202124"/>
              </w:rPr>
              <w:t>workforce.</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people-first culture and are keenly focused on managing and developing</w:t>
            </w:r>
          </w:p>
        </w:tc>
      </w:tr>
      <w:tr>
        <w:trPr>
          <w:trHeight w:val="190"/>
        </w:trPr>
        <w:tc>
          <w:tcPr>
            <w:tcW w:w="1700" w:type="dxa"/>
            <w:vAlign w:val="bottom"/>
            <w:tcBorders>
              <w:left w:val="single" w:sz="8" w:color="auto"/>
            </w:tcBorders>
          </w:tcPr>
          <w:p>
            <w:pPr>
              <w:spacing w:after="0"/>
              <w:rPr>
                <w:sz w:val="16"/>
                <w:szCs w:val="16"/>
                <w:color w:val="auto"/>
              </w:rPr>
            </w:pPr>
          </w:p>
        </w:tc>
        <w:tc>
          <w:tcPr>
            <w:tcW w:w="3060" w:type="dxa"/>
            <w:vAlign w:val="bottom"/>
            <w:shd w:val="clear" w:color="auto" w:fill="F3F3F3"/>
          </w:tcPr>
          <w:p>
            <w:pPr>
              <w:spacing w:after="0"/>
              <w:rPr>
                <w:sz w:val="16"/>
                <w:szCs w:val="16"/>
                <w:color w:val="auto"/>
              </w:rPr>
            </w:pP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02124"/>
              </w:rPr>
              <w:t>our workforce.</w:t>
            </w:r>
          </w:p>
        </w:tc>
      </w:tr>
      <w:tr>
        <w:trPr>
          <w:trHeight w:val="96"/>
        </w:trPr>
        <w:tc>
          <w:tcPr>
            <w:tcW w:w="1700" w:type="dxa"/>
            <w:vAlign w:val="bottom"/>
            <w:tcBorders>
              <w:left w:val="single" w:sz="8" w:color="auto"/>
              <w:bottom w:val="single" w:sz="8" w:color="auto"/>
            </w:tcBorders>
          </w:tcPr>
          <w:p>
            <w:pPr>
              <w:spacing w:after="0"/>
              <w:rPr>
                <w:sz w:val="8"/>
                <w:szCs w:val="8"/>
                <w:color w:val="auto"/>
              </w:rPr>
            </w:pPr>
          </w:p>
        </w:tc>
        <w:tc>
          <w:tcPr>
            <w:tcW w:w="3060" w:type="dxa"/>
            <w:vAlign w:val="bottom"/>
            <w:tcBorders>
              <w:bottom w:val="single" w:sz="8" w:color="auto"/>
            </w:tcBorders>
            <w:shd w:val="clear" w:color="auto" w:fill="F3F3F3"/>
          </w:tcPr>
          <w:p>
            <w:pPr>
              <w:spacing w:after="0"/>
              <w:rPr>
                <w:sz w:val="8"/>
                <w:szCs w:val="8"/>
                <w:color w:val="auto"/>
              </w:rPr>
            </w:pPr>
          </w:p>
        </w:tc>
        <w:tc>
          <w:tcPr>
            <w:tcW w:w="486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14   </w:t>
      </w:r>
      <w:r>
        <w:rPr>
          <w:sz w:val="1"/>
          <w:szCs w:val="1"/>
          <w:color w:val="auto"/>
        </w:rPr>
        <w:drawing>
          <wp:inline distT="0" distB="0" distL="0" distR="0">
            <wp:extent cx="116586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17" w:name="page18"/>
    <w:bookmarkEnd w:id="1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50" w:type="dxa"/>
        <w:tblCellMar>
          <w:top w:w="0" w:type="dxa"/>
          <w:left w:w="0" w:type="dxa"/>
          <w:bottom w:w="0" w:type="dxa"/>
          <w:right w:w="0" w:type="dxa"/>
        </w:tblCellMar>
      </w:tblPr>
      <w:tr>
        <w:trPr>
          <w:trHeight w:val="922"/>
        </w:trPr>
        <w:tc>
          <w:tcPr>
            <w:tcW w:w="3660" w:type="dxa"/>
            <w:vAlign w:val="bottom"/>
            <w:tcBorders>
              <w:left w:val="single" w:sz="8" w:color="auto"/>
              <w:bottom w:val="single" w:sz="8" w:color="212322"/>
              <w:right w:val="single" w:sz="8" w:color="212322"/>
            </w:tcBorders>
            <w:shd w:val="clear" w:color="auto" w:fill="212322"/>
          </w:tcPr>
          <w:p>
            <w:pPr>
              <w:spacing w:after="0"/>
              <w:rPr>
                <w:sz w:val="24"/>
                <w:szCs w:val="24"/>
                <w:color w:val="auto"/>
              </w:rPr>
            </w:pPr>
          </w:p>
        </w:tc>
        <w:tc>
          <w:tcPr>
            <w:tcW w:w="520" w:type="dxa"/>
            <w:vAlign w:val="bottom"/>
            <w:tcBorders>
              <w:bottom w:val="single" w:sz="8" w:color="212322"/>
            </w:tcBorders>
            <w:textDirection w:val="btLr"/>
            <w:shd w:val="clear" w:color="auto" w:fill="212322"/>
          </w:tcPr>
          <w:p>
            <w:pPr>
              <w:ind w:left="163"/>
              <w:spacing w:after="0"/>
              <w:rPr>
                <w:sz w:val="20"/>
                <w:szCs w:val="20"/>
                <w:color w:val="auto"/>
              </w:rPr>
            </w:pPr>
            <w:r>
              <w:rPr>
                <w:rFonts w:ascii="Arial" w:cs="Arial" w:eastAsia="Arial" w:hAnsi="Arial"/>
                <w:sz w:val="14"/>
                <w:szCs w:val="14"/>
                <w:b w:val="1"/>
                <w:bCs w:val="1"/>
                <w:color w:val="FFFFFF"/>
              </w:rPr>
              <w:t>Daniele</w:t>
            </w:r>
          </w:p>
        </w:tc>
        <w:tc>
          <w:tcPr>
            <w:tcW w:w="540" w:type="dxa"/>
            <w:vAlign w:val="bottom"/>
            <w:tcBorders>
              <w:bottom w:val="single" w:sz="8" w:color="212322"/>
              <w:right w:val="single" w:sz="8" w:color="212322"/>
            </w:tcBorders>
            <w:textDirection w:val="btLr"/>
            <w:shd w:val="clear" w:color="auto" w:fill="212322"/>
          </w:tcPr>
          <w:p>
            <w:pPr>
              <w:ind w:right="121"/>
              <w:spacing w:after="0"/>
              <w:rPr>
                <w:sz w:val="20"/>
                <w:szCs w:val="20"/>
                <w:color w:val="auto"/>
              </w:rPr>
            </w:pPr>
            <w:r>
              <w:rPr>
                <w:rFonts w:ascii="Arial" w:cs="Arial" w:eastAsia="Arial" w:hAnsi="Arial"/>
                <w:sz w:val="14"/>
                <w:szCs w:val="14"/>
                <w:b w:val="1"/>
                <w:bCs w:val="1"/>
                <w:color w:val="FFFFFF"/>
              </w:rPr>
              <w:t>Rhodes</w:t>
            </w:r>
          </w:p>
        </w:tc>
        <w:tc>
          <w:tcPr>
            <w:tcW w:w="460" w:type="dxa"/>
            <w:vAlign w:val="bottom"/>
            <w:tcBorders>
              <w:bottom w:val="single" w:sz="8" w:color="212322"/>
            </w:tcBorders>
            <w:textDirection w:val="btLr"/>
            <w:shd w:val="clear" w:color="auto" w:fill="212322"/>
          </w:tcPr>
          <w:p>
            <w:pPr>
              <w:ind w:left="129"/>
              <w:spacing w:after="0"/>
              <w:rPr>
                <w:sz w:val="20"/>
                <w:szCs w:val="20"/>
                <w:color w:val="auto"/>
              </w:rPr>
            </w:pPr>
            <w:r>
              <w:rPr>
                <w:rFonts w:ascii="Arial" w:cs="Arial" w:eastAsia="Arial" w:hAnsi="Arial"/>
                <w:sz w:val="14"/>
                <w:szCs w:val="14"/>
                <w:b w:val="1"/>
                <w:bCs w:val="1"/>
                <w:color w:val="FFFFFF"/>
              </w:rPr>
              <w:t>George</w:t>
            </w:r>
          </w:p>
        </w:tc>
        <w:tc>
          <w:tcPr>
            <w:tcW w:w="480" w:type="dxa"/>
            <w:vAlign w:val="bottom"/>
            <w:tcBorders>
              <w:bottom w:val="single" w:sz="8" w:color="212322"/>
            </w:tcBorders>
            <w:textDirection w:val="btLr"/>
            <w:shd w:val="clear" w:color="auto" w:fill="212322"/>
          </w:tcPr>
          <w:p>
            <w:pPr>
              <w:ind w:right="77"/>
              <w:spacing w:after="0"/>
              <w:rPr>
                <w:sz w:val="20"/>
                <w:szCs w:val="20"/>
                <w:color w:val="auto"/>
              </w:rPr>
            </w:pPr>
            <w:r>
              <w:rPr>
                <w:rFonts w:ascii="Arial" w:cs="Arial" w:eastAsia="Arial" w:hAnsi="Arial"/>
                <w:sz w:val="14"/>
                <w:szCs w:val="14"/>
                <w:b w:val="1"/>
                <w:bCs w:val="1"/>
                <w:color w:val="FFFFFF"/>
              </w:rPr>
              <w:t>Goodspeed</w:t>
            </w:r>
          </w:p>
        </w:tc>
        <w:tc>
          <w:tcPr>
            <w:tcW w:w="480" w:type="dxa"/>
            <w:vAlign w:val="bottom"/>
            <w:tcBorders>
              <w:bottom w:val="single" w:sz="8" w:color="212322"/>
            </w:tcBorders>
            <w:textDirection w:val="btLr"/>
            <w:shd w:val="clear" w:color="auto" w:fill="212322"/>
          </w:tcPr>
          <w:p>
            <w:pPr>
              <w:ind w:right="70"/>
              <w:spacing w:after="0"/>
              <w:rPr>
                <w:sz w:val="20"/>
                <w:szCs w:val="20"/>
                <w:color w:val="auto"/>
              </w:rPr>
            </w:pPr>
            <w:r>
              <w:rPr>
                <w:rFonts w:ascii="Arial" w:cs="Arial" w:eastAsia="Arial" w:hAnsi="Arial"/>
                <w:sz w:val="14"/>
                <w:szCs w:val="14"/>
                <w:b w:val="1"/>
                <w:bCs w:val="1"/>
                <w:color w:val="FFFFFF"/>
              </w:rPr>
              <w:t>Graves</w:t>
            </w:r>
          </w:p>
        </w:tc>
        <w:tc>
          <w:tcPr>
            <w:tcW w:w="500" w:type="dxa"/>
            <w:vAlign w:val="bottom"/>
            <w:tcBorders>
              <w:bottom w:val="single" w:sz="8" w:color="212322"/>
            </w:tcBorders>
            <w:textDirection w:val="btLr"/>
            <w:shd w:val="clear" w:color="auto" w:fill="212322"/>
          </w:tcPr>
          <w:p>
            <w:pPr>
              <w:ind w:right="84"/>
              <w:spacing w:after="0"/>
              <w:rPr>
                <w:sz w:val="20"/>
                <w:szCs w:val="20"/>
                <w:color w:val="auto"/>
              </w:rPr>
            </w:pPr>
            <w:r>
              <w:rPr>
                <w:rFonts w:ascii="Arial" w:cs="Arial" w:eastAsia="Arial" w:hAnsi="Arial"/>
                <w:sz w:val="14"/>
                <w:szCs w:val="14"/>
                <w:b w:val="1"/>
                <w:bCs w:val="1"/>
                <w:color w:val="FFFFFF"/>
              </w:rPr>
              <w:t>Hannasch</w:t>
            </w:r>
          </w:p>
        </w:tc>
        <w:tc>
          <w:tcPr>
            <w:tcW w:w="480" w:type="dxa"/>
            <w:vAlign w:val="bottom"/>
            <w:tcBorders>
              <w:bottom w:val="single" w:sz="8" w:color="212322"/>
            </w:tcBorders>
            <w:textDirection w:val="btLr"/>
            <w:shd w:val="clear" w:color="auto" w:fill="212322"/>
          </w:tcPr>
          <w:p>
            <w:pPr>
              <w:spacing w:after="0"/>
              <w:rPr>
                <w:sz w:val="20"/>
                <w:szCs w:val="20"/>
                <w:color w:val="auto"/>
              </w:rPr>
            </w:pPr>
            <w:r>
              <w:rPr>
                <w:rFonts w:ascii="Arial" w:cs="Arial" w:eastAsia="Arial" w:hAnsi="Arial"/>
                <w:sz w:val="14"/>
                <w:szCs w:val="14"/>
                <w:b w:val="1"/>
                <w:bCs w:val="1"/>
                <w:color w:val="FFFFFF"/>
              </w:rPr>
              <w:t>King</w:t>
            </w:r>
          </w:p>
        </w:tc>
        <w:tc>
          <w:tcPr>
            <w:tcW w:w="480" w:type="dxa"/>
            <w:vAlign w:val="bottom"/>
            <w:tcBorders>
              <w:bottom w:val="single" w:sz="8" w:color="212322"/>
            </w:tcBorders>
            <w:textDirection w:val="btLr"/>
            <w:shd w:val="clear" w:color="auto" w:fill="212322"/>
          </w:tcPr>
          <w:p>
            <w:pPr>
              <w:spacing w:after="0"/>
              <w:rPr>
                <w:sz w:val="20"/>
                <w:szCs w:val="20"/>
                <w:color w:val="auto"/>
              </w:rPr>
            </w:pPr>
            <w:r>
              <w:rPr>
                <w:rFonts w:ascii="Arial" w:cs="Arial" w:eastAsia="Arial" w:hAnsi="Arial"/>
                <w:sz w:val="14"/>
                <w:szCs w:val="14"/>
                <w:b w:val="1"/>
                <w:bCs w:val="1"/>
                <w:color w:val="FFFFFF"/>
              </w:rPr>
              <w:t>Mrkonic</w:t>
            </w:r>
          </w:p>
        </w:tc>
        <w:tc>
          <w:tcPr>
            <w:tcW w:w="500" w:type="dxa"/>
            <w:vAlign w:val="bottom"/>
            <w:tcBorders>
              <w:bottom w:val="single" w:sz="8" w:color="212322"/>
            </w:tcBorders>
            <w:textDirection w:val="btLr"/>
            <w:shd w:val="clear" w:color="auto" w:fill="212322"/>
          </w:tcPr>
          <w:p>
            <w:pPr>
              <w:ind w:right="86"/>
              <w:spacing w:after="0"/>
              <w:rPr>
                <w:sz w:val="20"/>
                <w:szCs w:val="20"/>
                <w:color w:val="auto"/>
              </w:rPr>
            </w:pPr>
            <w:r>
              <w:rPr>
                <w:rFonts w:ascii="Arial" w:cs="Arial" w:eastAsia="Arial" w:hAnsi="Arial"/>
                <w:sz w:val="14"/>
                <w:szCs w:val="14"/>
                <w:b w:val="1"/>
                <w:bCs w:val="1"/>
                <w:color w:val="FFFFFF"/>
              </w:rPr>
              <w:t>Soltau</w:t>
            </w:r>
          </w:p>
        </w:tc>
        <w:tc>
          <w:tcPr>
            <w:tcW w:w="500" w:type="dxa"/>
            <w:vAlign w:val="bottom"/>
            <w:tcBorders>
              <w:bottom w:val="single" w:sz="8" w:color="212322"/>
              <w:right w:val="single" w:sz="8" w:color="212322"/>
            </w:tcBorders>
            <w:textDirection w:val="btLr"/>
            <w:shd w:val="clear" w:color="auto" w:fill="212322"/>
          </w:tcPr>
          <w:p>
            <w:pPr>
              <w:ind w:right="100"/>
              <w:spacing w:after="0"/>
              <w:rPr>
                <w:sz w:val="20"/>
                <w:szCs w:val="20"/>
                <w:color w:val="auto"/>
              </w:rPr>
            </w:pPr>
            <w:r>
              <w:rPr>
                <w:rFonts w:ascii="Arial" w:cs="Arial" w:eastAsia="Arial" w:hAnsi="Arial"/>
                <w:sz w:val="14"/>
                <w:szCs w:val="14"/>
                <w:b w:val="1"/>
                <w:bCs w:val="1"/>
                <w:color w:val="FFFFFF"/>
              </w:rPr>
              <w:t>Spas</w:t>
            </w:r>
          </w:p>
        </w:tc>
        <w:tc>
          <w:tcPr>
            <w:tcW w:w="460" w:type="dxa"/>
            <w:vAlign w:val="bottom"/>
            <w:tcBorders>
              <w:bottom w:val="single" w:sz="8" w:color="212322"/>
            </w:tcBorders>
            <w:textDirection w:val="btLr"/>
            <w:shd w:val="clear" w:color="auto" w:fill="212322"/>
          </w:tcPr>
          <w:p>
            <w:pPr>
              <w:ind w:left="137"/>
              <w:spacing w:after="0"/>
              <w:rPr>
                <w:sz w:val="20"/>
                <w:szCs w:val="20"/>
                <w:color w:val="auto"/>
              </w:rPr>
            </w:pPr>
            <w:r>
              <w:rPr>
                <w:rFonts w:ascii="Arial" w:cs="Arial" w:eastAsia="Arial" w:hAnsi="Arial"/>
                <w:sz w:val="14"/>
                <w:szCs w:val="14"/>
                <w:b w:val="1"/>
                <w:bCs w:val="1"/>
                <w:color w:val="FFFFFF"/>
              </w:rPr>
              <w:t>Total(#)</w:t>
            </w:r>
          </w:p>
        </w:tc>
        <w:tc>
          <w:tcPr>
            <w:tcW w:w="700" w:type="dxa"/>
            <w:vAlign w:val="bottom"/>
            <w:tcBorders>
              <w:bottom w:val="single" w:sz="8" w:color="212322"/>
              <w:right w:val="single" w:sz="8" w:color="auto"/>
            </w:tcBorders>
            <w:textDirection w:val="btLr"/>
            <w:shd w:val="clear" w:color="auto" w:fill="212322"/>
          </w:tcPr>
          <w:p>
            <w:pPr>
              <w:ind w:left="244"/>
              <w:spacing w:after="0"/>
              <w:rPr>
                <w:sz w:val="20"/>
                <w:szCs w:val="20"/>
                <w:color w:val="auto"/>
              </w:rPr>
            </w:pPr>
            <w:r>
              <w:rPr>
                <w:rFonts w:ascii="Arial" w:cs="Arial" w:eastAsia="Arial" w:hAnsi="Arial"/>
                <w:sz w:val="14"/>
                <w:szCs w:val="14"/>
                <w:b w:val="1"/>
                <w:bCs w:val="1"/>
                <w:color w:val="FFFFFF"/>
              </w:rPr>
              <w:t>Total(%)</w:t>
            </w:r>
          </w:p>
        </w:tc>
      </w:tr>
      <w:tr>
        <w:trPr>
          <w:trHeight w:val="257"/>
        </w:trPr>
        <w:tc>
          <w:tcPr>
            <w:tcW w:w="36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F37F00"/>
              </w:rPr>
              <w:t>CORE SKILLS</w:t>
            </w:r>
          </w:p>
        </w:tc>
        <w:tc>
          <w:tcPr>
            <w:tcW w:w="520" w:type="dxa"/>
            <w:vAlign w:val="bottom"/>
            <w:tcBorders>
              <w:top w:val="single" w:sz="8" w:color="auto"/>
              <w:bottom w:val="single" w:sz="8" w:color="F3F3F3"/>
            </w:tcBorders>
            <w:shd w:val="clear" w:color="auto" w:fill="F3F3F3"/>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460" w:type="dxa"/>
            <w:vAlign w:val="bottom"/>
            <w:tcBorders>
              <w:top w:val="single" w:sz="8" w:color="auto"/>
              <w:bottom w:val="single" w:sz="8" w:color="F3F3F3"/>
            </w:tcBorders>
            <w:shd w:val="clear" w:color="auto" w:fill="F3F3F3"/>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F3F3F3"/>
            </w:tcBorders>
            <w:shd w:val="clear" w:color="auto" w:fill="F3F3F3"/>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F3F3F3"/>
            </w:tcBorders>
            <w:shd w:val="clear" w:color="auto" w:fill="F3F3F3"/>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F3F3F3"/>
            </w:tcBorders>
            <w:shd w:val="clear" w:color="auto" w:fill="F3F3F3"/>
          </w:tcPr>
          <w:p>
            <w:pPr>
              <w:spacing w:after="0"/>
              <w:rPr>
                <w:sz w:val="22"/>
                <w:szCs w:val="22"/>
                <w:color w:val="auto"/>
              </w:rPr>
            </w:pPr>
          </w:p>
        </w:tc>
        <w:tc>
          <w:tcPr>
            <w:tcW w:w="500" w:type="dxa"/>
            <w:vAlign w:val="bottom"/>
            <w:tcBorders>
              <w:top w:val="single" w:sz="8" w:color="auto"/>
              <w:right w:val="single" w:sz="8" w:color="auto"/>
            </w:tcBorders>
          </w:tcPr>
          <w:p>
            <w:pPr>
              <w:spacing w:after="0"/>
              <w:rPr>
                <w:sz w:val="22"/>
                <w:szCs w:val="22"/>
                <w:color w:val="auto"/>
              </w:rPr>
            </w:pPr>
          </w:p>
        </w:tc>
        <w:tc>
          <w:tcPr>
            <w:tcW w:w="460" w:type="dxa"/>
            <w:vAlign w:val="bottom"/>
            <w:tcBorders>
              <w:top w:val="single" w:sz="8" w:color="auto"/>
              <w:bottom w:val="single" w:sz="8" w:color="F3F3F3"/>
            </w:tcBorders>
            <w:shd w:val="clear" w:color="auto" w:fill="F3F3F3"/>
          </w:tcPr>
          <w:p>
            <w:pPr>
              <w:spacing w:after="0"/>
              <w:rPr>
                <w:sz w:val="22"/>
                <w:szCs w:val="22"/>
                <w:color w:val="auto"/>
              </w:rPr>
            </w:pPr>
          </w:p>
        </w:tc>
        <w:tc>
          <w:tcPr>
            <w:tcW w:w="700" w:type="dxa"/>
            <w:vAlign w:val="bottom"/>
            <w:tcBorders>
              <w:top w:val="single" w:sz="8" w:color="auto"/>
              <w:right w:val="single" w:sz="8" w:color="auto"/>
            </w:tcBorders>
          </w:tcPr>
          <w:p>
            <w:pPr>
              <w:spacing w:after="0"/>
              <w:rPr>
                <w:sz w:val="22"/>
                <w:szCs w:val="22"/>
                <w:color w:val="auto"/>
              </w:rPr>
            </w:pP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Leadership</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4"/>
                <w:szCs w:val="14"/>
                <w:b w:val="1"/>
                <w:bCs w:val="1"/>
                <w:color w:val="F37F00"/>
              </w:rPr>
              <w:t>10</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100%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Financial Literacy</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4"/>
                <w:szCs w:val="14"/>
                <w:b w:val="1"/>
                <w:bCs w:val="1"/>
                <w:color w:val="F37F00"/>
              </w:rPr>
              <w:t>10</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100%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Board Experience</w:t>
            </w:r>
          </w:p>
        </w:tc>
        <w:tc>
          <w:tcPr>
            <w:tcW w:w="520" w:type="dxa"/>
            <w:vAlign w:val="bottom"/>
            <w:tcBorders>
              <w:top w:val="single" w:sz="8" w:color="808080"/>
              <w:bottom w:val="single" w:sz="8" w:color="F3F3F3"/>
            </w:tcBorders>
            <w:shd w:val="clear" w:color="auto" w:fill="F3F3F3"/>
          </w:tcPr>
          <w:p>
            <w:pPr>
              <w:spacing w:after="0"/>
              <w:rPr>
                <w:sz w:val="22"/>
                <w:szCs w:val="22"/>
                <w:color w:val="auto"/>
              </w:rPr>
            </w:pP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spacing w:after="0"/>
              <w:rPr>
                <w:sz w:val="22"/>
                <w:szCs w:val="22"/>
                <w:color w:val="auto"/>
              </w:rPr>
            </w:pP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4"/>
                <w:szCs w:val="14"/>
                <w:b w:val="1"/>
                <w:bCs w:val="1"/>
                <w:color w:val="F37F00"/>
              </w:rPr>
              <w:t>7</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70%</w:t>
            </w:r>
          </w:p>
        </w:tc>
      </w:tr>
      <w:tr>
        <w:trPr>
          <w:trHeight w:val="264"/>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Strategy and Business Development</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4"/>
                <w:szCs w:val="14"/>
                <w:b w:val="1"/>
                <w:bCs w:val="1"/>
                <w:color w:val="F37F00"/>
              </w:rPr>
              <w:t>10</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100%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Risk Management</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4"/>
                <w:szCs w:val="14"/>
                <w:b w:val="1"/>
                <w:bCs w:val="1"/>
                <w:color w:val="F37F00"/>
              </w:rPr>
              <w:t>10</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100%</w:t>
            </w:r>
          </w:p>
        </w:tc>
      </w:tr>
      <w:tr>
        <w:trPr>
          <w:trHeight w:val="263"/>
        </w:trPr>
        <w:tc>
          <w:tcPr>
            <w:tcW w:w="3660" w:type="dxa"/>
            <w:vAlign w:val="bottom"/>
            <w:tcBorders>
              <w:top w:val="single" w:sz="8" w:color="808080"/>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F37F00"/>
              </w:rPr>
              <w:t>DISTINCT STRENGTHS</w:t>
            </w:r>
          </w:p>
        </w:tc>
        <w:tc>
          <w:tcPr>
            <w:tcW w:w="520" w:type="dxa"/>
            <w:vAlign w:val="bottom"/>
            <w:tcBorders>
              <w:top w:val="single" w:sz="8" w:color="808080"/>
              <w:bottom w:val="single" w:sz="8" w:color="F3F3F3"/>
            </w:tcBorders>
            <w:shd w:val="clear" w:color="auto" w:fill="F3F3F3"/>
          </w:tcPr>
          <w:p>
            <w:pPr>
              <w:spacing w:after="0"/>
              <w:rPr>
                <w:sz w:val="22"/>
                <w:szCs w:val="22"/>
                <w:color w:val="auto"/>
              </w:rPr>
            </w:pPr>
          </w:p>
        </w:tc>
        <w:tc>
          <w:tcPr>
            <w:tcW w:w="540" w:type="dxa"/>
            <w:vAlign w:val="bottom"/>
            <w:tcBorders>
              <w:top w:val="single" w:sz="8" w:color="808080"/>
              <w:right w:val="single" w:sz="8" w:color="auto"/>
            </w:tcBorders>
          </w:tcPr>
          <w:p>
            <w:pPr>
              <w:spacing w:after="0"/>
              <w:rPr>
                <w:sz w:val="22"/>
                <w:szCs w:val="22"/>
                <w:color w:val="auto"/>
              </w:rPr>
            </w:pPr>
          </w:p>
        </w:tc>
        <w:tc>
          <w:tcPr>
            <w:tcW w:w="46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spacing w:after="0"/>
              <w:rPr>
                <w:sz w:val="22"/>
                <w:szCs w:val="22"/>
                <w:color w:val="auto"/>
              </w:rPr>
            </w:pPr>
          </w:p>
        </w:tc>
        <w:tc>
          <w:tcPr>
            <w:tcW w:w="50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right w:val="single" w:sz="8" w:color="auto"/>
            </w:tcBorders>
          </w:tcPr>
          <w:p>
            <w:pPr>
              <w:spacing w:after="0"/>
              <w:rPr>
                <w:sz w:val="22"/>
                <w:szCs w:val="22"/>
                <w:color w:val="auto"/>
              </w:rPr>
            </w:pPr>
          </w:p>
        </w:tc>
        <w:tc>
          <w:tcPr>
            <w:tcW w:w="460" w:type="dxa"/>
            <w:vAlign w:val="bottom"/>
            <w:tcBorders>
              <w:top w:val="single" w:sz="8" w:color="808080"/>
              <w:bottom w:val="single" w:sz="8" w:color="F3F3F3"/>
            </w:tcBorders>
            <w:shd w:val="clear" w:color="auto" w:fill="F3F3F3"/>
          </w:tcPr>
          <w:p>
            <w:pPr>
              <w:spacing w:after="0"/>
              <w:rPr>
                <w:sz w:val="22"/>
                <w:szCs w:val="22"/>
                <w:color w:val="auto"/>
              </w:rPr>
            </w:pPr>
          </w:p>
        </w:tc>
        <w:tc>
          <w:tcPr>
            <w:tcW w:w="700" w:type="dxa"/>
            <w:vAlign w:val="bottom"/>
            <w:tcBorders>
              <w:top w:val="single" w:sz="8" w:color="808080"/>
              <w:right w:val="single" w:sz="8" w:color="auto"/>
            </w:tcBorders>
          </w:tcPr>
          <w:p>
            <w:pPr>
              <w:spacing w:after="0"/>
              <w:rPr>
                <w:sz w:val="22"/>
                <w:szCs w:val="22"/>
                <w:color w:val="auto"/>
              </w:rPr>
            </w:pP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Retail &amp; Consumer</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9</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90%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International</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6</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60%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Technology</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spacing w:after="0"/>
              <w:rPr>
                <w:sz w:val="22"/>
                <w:szCs w:val="22"/>
                <w:color w:val="auto"/>
              </w:rPr>
            </w:pP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8</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80%</w:t>
            </w:r>
          </w:p>
        </w:tc>
      </w:tr>
      <w:tr>
        <w:trPr>
          <w:trHeight w:val="264"/>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CEO Experience</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spacing w:after="0"/>
              <w:rPr>
                <w:sz w:val="22"/>
                <w:szCs w:val="22"/>
                <w:color w:val="auto"/>
              </w:rPr>
            </w:pP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4"/>
                <w:szCs w:val="14"/>
                <w:b w:val="1"/>
                <w:bCs w:val="1"/>
                <w:color w:val="F79646"/>
              </w:rPr>
              <w:t>7</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70%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Financial Expertise</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7</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70%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Business to Business</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spacing w:after="0"/>
              <w:rPr>
                <w:sz w:val="22"/>
                <w:szCs w:val="22"/>
                <w:color w:val="auto"/>
              </w:rPr>
            </w:pPr>
          </w:p>
        </w:tc>
        <w:tc>
          <w:tcPr>
            <w:tcW w:w="50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3</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30%</w:t>
            </w:r>
          </w:p>
        </w:tc>
      </w:tr>
      <w:tr>
        <w:trPr>
          <w:trHeight w:val="263"/>
        </w:trPr>
        <w:tc>
          <w:tcPr>
            <w:tcW w:w="3660" w:type="dxa"/>
            <w:vAlign w:val="bottom"/>
            <w:tcBorders>
              <w:top w:val="single" w:sz="8" w:color="808080"/>
              <w:left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Supply Chain</w:t>
            </w:r>
          </w:p>
        </w:tc>
        <w:tc>
          <w:tcPr>
            <w:tcW w:w="520" w:type="dxa"/>
            <w:vAlign w:val="bottom"/>
            <w:tcBorders>
              <w:top w:val="single" w:sz="8" w:color="808080"/>
              <w:bottom w:val="single" w:sz="8" w:color="F3F3F3"/>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F3F3F3"/>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spacing w:after="0"/>
              <w:rPr>
                <w:sz w:val="22"/>
                <w:szCs w:val="22"/>
                <w:color w:val="auto"/>
              </w:rPr>
            </w:pP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500" w:type="dxa"/>
            <w:vAlign w:val="bottom"/>
            <w:tcBorders>
              <w:top w:val="single" w:sz="8" w:color="808080"/>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F3F3F3"/>
            </w:tcBorders>
            <w:shd w:val="clear" w:color="auto" w:fill="F3F3F3"/>
          </w:tcPr>
          <w:p>
            <w:pPr>
              <w:spacing w:after="0"/>
              <w:rPr>
                <w:sz w:val="22"/>
                <w:szCs w:val="22"/>
                <w:color w:val="auto"/>
              </w:rPr>
            </w:pP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F3F3F3"/>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right w:val="single" w:sz="8" w:color="auto"/>
            </w:tcBorders>
          </w:tcPr>
          <w:p>
            <w:pPr>
              <w:spacing w:after="0"/>
              <w:rPr>
                <w:sz w:val="22"/>
                <w:szCs w:val="22"/>
                <w:color w:val="auto"/>
              </w:rPr>
            </w:pPr>
          </w:p>
        </w:tc>
        <w:tc>
          <w:tcPr>
            <w:tcW w:w="460" w:type="dxa"/>
            <w:vAlign w:val="bottom"/>
            <w:tcBorders>
              <w:top w:val="single" w:sz="8" w:color="808080"/>
              <w:bottom w:val="single" w:sz="8" w:color="F3F3F3"/>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6</w:t>
            </w:r>
          </w:p>
        </w:tc>
        <w:tc>
          <w:tcPr>
            <w:tcW w:w="700" w:type="dxa"/>
            <w:vAlign w:val="bottom"/>
            <w:tcBorders>
              <w:top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60%</w:t>
            </w:r>
          </w:p>
        </w:tc>
      </w:tr>
      <w:tr>
        <w:trPr>
          <w:trHeight w:val="271"/>
        </w:trPr>
        <w:tc>
          <w:tcPr>
            <w:tcW w:w="3660" w:type="dxa"/>
            <w:vAlign w:val="bottom"/>
            <w:tcBorders>
              <w:top w:val="single" w:sz="8" w:color="808080"/>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Human Capital Management</w:t>
            </w:r>
          </w:p>
        </w:tc>
        <w:tc>
          <w:tcPr>
            <w:tcW w:w="520" w:type="dxa"/>
            <w:vAlign w:val="bottom"/>
            <w:tcBorders>
              <w:top w:val="single" w:sz="8" w:color="808080"/>
              <w:bottom w:val="single" w:sz="8" w:color="auto"/>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bottom w:val="single" w:sz="8" w:color="auto"/>
              <w:right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auto"/>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auto"/>
            </w:tcBorders>
          </w:tcPr>
          <w:p>
            <w:pPr>
              <w:spacing w:after="0"/>
              <w:rPr>
                <w:sz w:val="23"/>
                <w:szCs w:val="23"/>
                <w:color w:val="auto"/>
              </w:rPr>
            </w:pPr>
          </w:p>
        </w:tc>
        <w:tc>
          <w:tcPr>
            <w:tcW w:w="480" w:type="dxa"/>
            <w:vAlign w:val="bottom"/>
            <w:tcBorders>
              <w:top w:val="single" w:sz="8" w:color="808080"/>
              <w:bottom w:val="single" w:sz="8" w:color="auto"/>
            </w:tcBorders>
            <w:shd w:val="clear" w:color="auto" w:fill="F3F3F3"/>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bottom w:val="single" w:sz="8" w:color="auto"/>
            </w:tcBorders>
            <w:shd w:val="clear" w:color="auto" w:fill="F3F3F3"/>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Borders>
              <w:top w:val="single" w:sz="8" w:color="808080"/>
              <w:bottom w:val="single" w:sz="8" w:color="auto"/>
            </w:tcBorders>
          </w:tcPr>
          <w:p>
            <w:pPr>
              <w:spacing w:after="0"/>
              <w:rPr>
                <w:sz w:val="23"/>
                <w:szCs w:val="23"/>
                <w:color w:val="auto"/>
              </w:rPr>
            </w:pPr>
          </w:p>
        </w:tc>
        <w:tc>
          <w:tcPr>
            <w:tcW w:w="500" w:type="dxa"/>
            <w:vAlign w:val="bottom"/>
            <w:tcBorders>
              <w:top w:val="single" w:sz="8" w:color="808080"/>
              <w:bottom w:val="single" w:sz="8" w:color="auto"/>
            </w:tcBorders>
            <w:shd w:val="clear" w:color="auto" w:fill="F3F3F3"/>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bottom w:val="single" w:sz="8" w:color="auto"/>
            </w:tcBorders>
            <w:shd w:val="clear" w:color="auto" w:fill="F3F3F3"/>
          </w:tcPr>
          <w:p>
            <w:pPr>
              <w:jc w:val="center"/>
              <w:spacing w:after="0"/>
              <w:rPr>
                <w:sz w:val="20"/>
                <w:szCs w:val="20"/>
                <w:color w:val="auto"/>
              </w:rPr>
            </w:pPr>
            <w:r>
              <w:rPr>
                <w:rFonts w:ascii="Arial" w:cs="Arial" w:eastAsia="Arial" w:hAnsi="Arial"/>
                <w:sz w:val="16"/>
                <w:szCs w:val="16"/>
                <w:b w:val="1"/>
                <w:bCs w:val="1"/>
                <w:color w:val="F79646"/>
              </w:rPr>
              <w:t>8</w:t>
            </w:r>
          </w:p>
        </w:tc>
        <w:tc>
          <w:tcPr>
            <w:tcW w:w="700" w:type="dxa"/>
            <w:vAlign w:val="bottom"/>
            <w:tcBorders>
              <w:top w:val="single" w:sz="8" w:color="808080"/>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37F00"/>
              </w:rPr>
              <w:t>80%</w:t>
            </w: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DIVERSITY</w:t>
      </w:r>
    </w:p>
    <w:p>
      <w:pPr>
        <w:spacing w:after="0" w:line="131" w:lineRule="exact"/>
        <w:rPr>
          <w:sz w:val="20"/>
          <w:szCs w:val="20"/>
          <w:color w:val="auto"/>
        </w:rPr>
      </w:pPr>
    </w:p>
    <w:p>
      <w:pPr>
        <w:ind w:left="640" w:right="520"/>
        <w:spacing w:after="0" w:line="271" w:lineRule="auto"/>
        <w:rPr>
          <w:sz w:val="20"/>
          <w:szCs w:val="20"/>
          <w:color w:val="auto"/>
        </w:rPr>
      </w:pPr>
      <w:r>
        <w:rPr>
          <w:rFonts w:ascii="Arial" w:cs="Arial" w:eastAsia="Arial" w:hAnsi="Arial"/>
          <w:sz w:val="18"/>
          <w:szCs w:val="18"/>
          <w:color w:val="202124"/>
        </w:rPr>
        <w:t>Consistent with AutoZone’s Pledge and Values, the Board embraces diversity in its broadest sense and believes it is important to have directors with diverse thoughts, skills, knowledge and backgrounds.</w:t>
      </w:r>
    </w:p>
    <w:p>
      <w:pPr>
        <w:spacing w:after="0" w:line="125" w:lineRule="exact"/>
        <w:rPr>
          <w:sz w:val="20"/>
          <w:szCs w:val="20"/>
          <w:color w:val="auto"/>
        </w:rPr>
      </w:pPr>
    </w:p>
    <w:tbl>
      <w:tblPr>
        <w:tblLayout w:type="fixed"/>
        <w:tblInd w:w="650" w:type="dxa"/>
        <w:tblCellMar>
          <w:top w:w="0" w:type="dxa"/>
          <w:left w:w="0" w:type="dxa"/>
          <w:bottom w:w="0" w:type="dxa"/>
          <w:right w:w="0" w:type="dxa"/>
        </w:tblCellMar>
      </w:tblPr>
      <w:tr>
        <w:trPr>
          <w:trHeight w:val="282"/>
        </w:trPr>
        <w:tc>
          <w:tcPr>
            <w:tcW w:w="3620" w:type="dxa"/>
            <w:vAlign w:val="bottom"/>
            <w:tcBorders>
              <w:top w:val="single" w:sz="8" w:color="auto"/>
              <w:left w:val="single" w:sz="8" w:color="auto"/>
              <w:right w:val="single" w:sz="8" w:color="202124"/>
            </w:tcBorders>
            <w:shd w:val="clear" w:color="auto" w:fill="202124"/>
          </w:tcPr>
          <w:p>
            <w:pPr>
              <w:spacing w:after="0"/>
              <w:rPr>
                <w:sz w:val="24"/>
                <w:szCs w:val="24"/>
                <w:color w:val="auto"/>
              </w:rPr>
            </w:pPr>
          </w:p>
        </w:tc>
        <w:tc>
          <w:tcPr>
            <w:tcW w:w="480" w:type="dxa"/>
            <w:vAlign w:val="bottom"/>
            <w:tcBorders>
              <w:top w:val="single" w:sz="8" w:color="auto"/>
            </w:tcBorders>
            <w:shd w:val="clear" w:color="auto" w:fill="202124"/>
          </w:tcPr>
          <w:p>
            <w:pPr>
              <w:spacing w:after="0"/>
              <w:rPr>
                <w:sz w:val="24"/>
                <w:szCs w:val="24"/>
                <w:color w:val="auto"/>
              </w:rPr>
            </w:pPr>
          </w:p>
        </w:tc>
        <w:tc>
          <w:tcPr>
            <w:tcW w:w="540" w:type="dxa"/>
            <w:vAlign w:val="bottom"/>
            <w:tcBorders>
              <w:top w:val="single" w:sz="8" w:color="auto"/>
              <w:right w:val="single" w:sz="8" w:color="202124"/>
            </w:tcBorders>
            <w:shd w:val="clear" w:color="auto" w:fill="202124"/>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Independent Directors</w:t>
            </w:r>
          </w:p>
        </w:tc>
        <w:tc>
          <w:tcPr>
            <w:tcW w:w="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r>
      <w:tr>
        <w:trPr>
          <w:trHeight w:val="69"/>
        </w:trPr>
        <w:tc>
          <w:tcPr>
            <w:tcW w:w="3620" w:type="dxa"/>
            <w:vAlign w:val="bottom"/>
            <w:tcBorders>
              <w:left w:val="single" w:sz="8" w:color="auto"/>
              <w:right w:val="single" w:sz="8" w:color="202124"/>
            </w:tcBorders>
            <w:shd w:val="clear" w:color="auto" w:fill="202124"/>
          </w:tcPr>
          <w:p>
            <w:pPr>
              <w:spacing w:after="0"/>
              <w:rPr>
                <w:sz w:val="6"/>
                <w:szCs w:val="6"/>
                <w:color w:val="auto"/>
              </w:rPr>
            </w:pPr>
          </w:p>
        </w:tc>
        <w:tc>
          <w:tcPr>
            <w:tcW w:w="480" w:type="dxa"/>
            <w:vAlign w:val="bottom"/>
            <w:shd w:val="clear" w:color="auto" w:fill="202124"/>
          </w:tcPr>
          <w:p>
            <w:pPr>
              <w:spacing w:after="0"/>
              <w:rPr>
                <w:sz w:val="6"/>
                <w:szCs w:val="6"/>
                <w:color w:val="auto"/>
              </w:rPr>
            </w:pPr>
          </w:p>
        </w:tc>
        <w:tc>
          <w:tcPr>
            <w:tcW w:w="540" w:type="dxa"/>
            <w:vAlign w:val="bottom"/>
            <w:tcBorders>
              <w:right w:val="single" w:sz="8" w:color="202124"/>
            </w:tcBorders>
            <w:shd w:val="clear" w:color="auto" w:fill="202124"/>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r>
      <w:tr>
        <w:trPr>
          <w:trHeight w:val="871"/>
        </w:trPr>
        <w:tc>
          <w:tcPr>
            <w:tcW w:w="3620" w:type="dxa"/>
            <w:vAlign w:val="bottom"/>
            <w:tcBorders>
              <w:left w:val="single" w:sz="8" w:color="auto"/>
              <w:bottom w:val="single" w:sz="8" w:color="202124"/>
              <w:right w:val="single" w:sz="8" w:color="auto"/>
            </w:tcBorders>
            <w:shd w:val="clear" w:color="auto" w:fill="202124"/>
          </w:tcPr>
          <w:p>
            <w:pPr>
              <w:spacing w:after="0"/>
              <w:rPr>
                <w:sz w:val="24"/>
                <w:szCs w:val="24"/>
                <w:color w:val="auto"/>
              </w:rPr>
            </w:pPr>
          </w:p>
        </w:tc>
        <w:tc>
          <w:tcPr>
            <w:tcW w:w="480" w:type="dxa"/>
            <w:vAlign w:val="bottom"/>
            <w:tcBorders>
              <w:bottom w:val="single" w:sz="8" w:color="202124"/>
            </w:tcBorders>
            <w:textDirection w:val="btLr"/>
            <w:shd w:val="clear" w:color="auto" w:fill="202124"/>
          </w:tcPr>
          <w:p>
            <w:pPr>
              <w:ind w:left="149"/>
              <w:spacing w:after="0"/>
              <w:rPr>
                <w:sz w:val="20"/>
                <w:szCs w:val="20"/>
                <w:color w:val="auto"/>
              </w:rPr>
            </w:pPr>
            <w:r>
              <w:rPr>
                <w:rFonts w:ascii="Arial" w:cs="Arial" w:eastAsia="Arial" w:hAnsi="Arial"/>
                <w:sz w:val="14"/>
                <w:szCs w:val="14"/>
                <w:b w:val="1"/>
                <w:bCs w:val="1"/>
                <w:color w:val="FFFFFF"/>
              </w:rPr>
              <w:t>Daniele</w:t>
            </w:r>
          </w:p>
        </w:tc>
        <w:tc>
          <w:tcPr>
            <w:tcW w:w="540" w:type="dxa"/>
            <w:vAlign w:val="bottom"/>
            <w:tcBorders>
              <w:bottom w:val="single" w:sz="8" w:color="202124"/>
              <w:right w:val="single" w:sz="8" w:color="auto"/>
            </w:tcBorders>
            <w:textDirection w:val="btLr"/>
            <w:shd w:val="clear" w:color="auto" w:fill="202124"/>
          </w:tcPr>
          <w:p>
            <w:pPr>
              <w:ind w:left="168"/>
              <w:spacing w:after="0"/>
              <w:rPr>
                <w:sz w:val="20"/>
                <w:szCs w:val="20"/>
                <w:color w:val="auto"/>
              </w:rPr>
            </w:pPr>
            <w:r>
              <w:rPr>
                <w:rFonts w:ascii="Arial" w:cs="Arial" w:eastAsia="Arial" w:hAnsi="Arial"/>
                <w:sz w:val="14"/>
                <w:szCs w:val="14"/>
                <w:b w:val="1"/>
                <w:bCs w:val="1"/>
                <w:color w:val="FFFFFF"/>
              </w:rPr>
              <w:t>Rhodes</w:t>
            </w:r>
          </w:p>
        </w:tc>
        <w:tc>
          <w:tcPr>
            <w:tcW w:w="500" w:type="dxa"/>
            <w:vAlign w:val="bottom"/>
            <w:tcBorders>
              <w:bottom w:val="single" w:sz="8" w:color="202124"/>
            </w:tcBorders>
            <w:textDirection w:val="btLr"/>
            <w:shd w:val="clear" w:color="auto" w:fill="202124"/>
          </w:tcPr>
          <w:p>
            <w:pPr>
              <w:ind w:left="168"/>
              <w:spacing w:after="0"/>
              <w:rPr>
                <w:sz w:val="20"/>
                <w:szCs w:val="20"/>
                <w:color w:val="auto"/>
              </w:rPr>
            </w:pPr>
            <w:r>
              <w:rPr>
                <w:rFonts w:ascii="Arial" w:cs="Arial" w:eastAsia="Arial" w:hAnsi="Arial"/>
                <w:sz w:val="14"/>
                <w:szCs w:val="14"/>
                <w:b w:val="1"/>
                <w:bCs w:val="1"/>
                <w:color w:val="FFFFFF"/>
              </w:rPr>
              <w:t>George</w:t>
            </w:r>
          </w:p>
        </w:tc>
        <w:tc>
          <w:tcPr>
            <w:tcW w:w="540" w:type="dxa"/>
            <w:vAlign w:val="bottom"/>
            <w:tcBorders>
              <w:bottom w:val="single" w:sz="8" w:color="202124"/>
            </w:tcBorders>
            <w:textDirection w:val="btLr"/>
            <w:shd w:val="clear" w:color="auto" w:fill="202124"/>
          </w:tcPr>
          <w:p>
            <w:pPr>
              <w:ind w:left="181"/>
              <w:spacing w:after="0"/>
              <w:rPr>
                <w:sz w:val="20"/>
                <w:szCs w:val="20"/>
                <w:color w:val="auto"/>
              </w:rPr>
            </w:pPr>
            <w:r>
              <w:rPr>
                <w:rFonts w:ascii="Arial" w:cs="Arial" w:eastAsia="Arial" w:hAnsi="Arial"/>
                <w:sz w:val="14"/>
                <w:szCs w:val="14"/>
                <w:b w:val="1"/>
                <w:bCs w:val="1"/>
                <w:color w:val="FFFFFF"/>
              </w:rPr>
              <w:t>Goodspeed</w:t>
            </w:r>
          </w:p>
        </w:tc>
        <w:tc>
          <w:tcPr>
            <w:tcW w:w="520" w:type="dxa"/>
            <w:vAlign w:val="bottom"/>
            <w:tcBorders>
              <w:bottom w:val="single" w:sz="8" w:color="202124"/>
            </w:tcBorders>
            <w:textDirection w:val="btLr"/>
            <w:shd w:val="clear" w:color="auto" w:fill="202124"/>
          </w:tcPr>
          <w:p>
            <w:pPr>
              <w:ind w:left="168"/>
              <w:spacing w:after="0"/>
              <w:rPr>
                <w:sz w:val="20"/>
                <w:szCs w:val="20"/>
                <w:color w:val="auto"/>
              </w:rPr>
            </w:pPr>
            <w:r>
              <w:rPr>
                <w:rFonts w:ascii="Arial" w:cs="Arial" w:eastAsia="Arial" w:hAnsi="Arial"/>
                <w:sz w:val="14"/>
                <w:szCs w:val="14"/>
                <w:b w:val="1"/>
                <w:bCs w:val="1"/>
                <w:color w:val="FFFFFF"/>
              </w:rPr>
              <w:t>Graves</w:t>
            </w:r>
          </w:p>
        </w:tc>
        <w:tc>
          <w:tcPr>
            <w:tcW w:w="520" w:type="dxa"/>
            <w:vAlign w:val="bottom"/>
            <w:tcBorders>
              <w:bottom w:val="single" w:sz="8" w:color="202124"/>
            </w:tcBorders>
            <w:textDirection w:val="btLr"/>
            <w:shd w:val="clear" w:color="auto" w:fill="202124"/>
          </w:tcPr>
          <w:p>
            <w:pPr>
              <w:ind w:left="174"/>
              <w:spacing w:after="0"/>
              <w:rPr>
                <w:sz w:val="20"/>
                <w:szCs w:val="20"/>
                <w:color w:val="auto"/>
              </w:rPr>
            </w:pPr>
            <w:r>
              <w:rPr>
                <w:rFonts w:ascii="Arial" w:cs="Arial" w:eastAsia="Arial" w:hAnsi="Arial"/>
                <w:sz w:val="14"/>
                <w:szCs w:val="14"/>
                <w:b w:val="1"/>
                <w:bCs w:val="1"/>
                <w:color w:val="FFFFFF"/>
              </w:rPr>
              <w:t>Hannasch</w:t>
            </w:r>
          </w:p>
        </w:tc>
        <w:tc>
          <w:tcPr>
            <w:tcW w:w="540" w:type="dxa"/>
            <w:vAlign w:val="bottom"/>
            <w:tcBorders>
              <w:bottom w:val="single" w:sz="8" w:color="202124"/>
            </w:tcBorders>
            <w:textDirection w:val="btLr"/>
            <w:shd w:val="clear" w:color="auto" w:fill="202124"/>
          </w:tcPr>
          <w:p>
            <w:pPr>
              <w:ind w:left="181"/>
              <w:spacing w:after="0"/>
              <w:rPr>
                <w:sz w:val="20"/>
                <w:szCs w:val="20"/>
                <w:color w:val="auto"/>
              </w:rPr>
            </w:pPr>
            <w:r>
              <w:rPr>
                <w:rFonts w:ascii="Arial" w:cs="Arial" w:eastAsia="Arial" w:hAnsi="Arial"/>
                <w:sz w:val="14"/>
                <w:szCs w:val="14"/>
                <w:b w:val="1"/>
                <w:bCs w:val="1"/>
                <w:color w:val="FFFFFF"/>
              </w:rPr>
              <w:t>King</w:t>
            </w:r>
          </w:p>
        </w:tc>
        <w:tc>
          <w:tcPr>
            <w:tcW w:w="500" w:type="dxa"/>
            <w:vAlign w:val="bottom"/>
            <w:tcBorders>
              <w:bottom w:val="single" w:sz="8" w:color="202124"/>
            </w:tcBorders>
            <w:textDirection w:val="btLr"/>
            <w:shd w:val="clear" w:color="auto" w:fill="202124"/>
          </w:tcPr>
          <w:p>
            <w:pPr>
              <w:ind w:left="154"/>
              <w:spacing w:after="0"/>
              <w:rPr>
                <w:sz w:val="20"/>
                <w:szCs w:val="20"/>
                <w:color w:val="auto"/>
              </w:rPr>
            </w:pPr>
            <w:r>
              <w:rPr>
                <w:rFonts w:ascii="Arial" w:cs="Arial" w:eastAsia="Arial" w:hAnsi="Arial"/>
                <w:sz w:val="14"/>
                <w:szCs w:val="14"/>
                <w:b w:val="1"/>
                <w:bCs w:val="1"/>
                <w:color w:val="FFFFFF"/>
              </w:rPr>
              <w:t>Mrkonic</w:t>
            </w:r>
          </w:p>
        </w:tc>
        <w:tc>
          <w:tcPr>
            <w:tcW w:w="520" w:type="dxa"/>
            <w:vAlign w:val="bottom"/>
            <w:tcBorders>
              <w:bottom w:val="single" w:sz="8" w:color="202124"/>
            </w:tcBorders>
            <w:textDirection w:val="btLr"/>
            <w:shd w:val="clear" w:color="auto" w:fill="202124"/>
          </w:tcPr>
          <w:p>
            <w:pPr>
              <w:ind w:left="167"/>
              <w:spacing w:after="0" w:line="216" w:lineRule="auto"/>
              <w:rPr>
                <w:sz w:val="20"/>
                <w:szCs w:val="20"/>
                <w:color w:val="auto"/>
              </w:rPr>
            </w:pPr>
            <w:r>
              <w:rPr>
                <w:rFonts w:ascii="Arial" w:cs="Arial" w:eastAsia="Arial" w:hAnsi="Arial"/>
                <w:sz w:val="14"/>
                <w:szCs w:val="14"/>
                <w:b w:val="1"/>
                <w:bCs w:val="1"/>
                <w:color w:val="FFFFFF"/>
              </w:rPr>
              <w:t>Soltau</w:t>
            </w:r>
          </w:p>
        </w:tc>
        <w:tc>
          <w:tcPr>
            <w:tcW w:w="540" w:type="dxa"/>
            <w:vAlign w:val="bottom"/>
            <w:tcBorders>
              <w:bottom w:val="single" w:sz="8" w:color="202124"/>
              <w:right w:val="single" w:sz="8" w:color="auto"/>
            </w:tcBorders>
            <w:textDirection w:val="btLr"/>
            <w:shd w:val="clear" w:color="auto" w:fill="202124"/>
          </w:tcPr>
          <w:p>
            <w:pPr>
              <w:ind w:left="160"/>
              <w:spacing w:after="0" w:line="194" w:lineRule="auto"/>
              <w:rPr>
                <w:sz w:val="20"/>
                <w:szCs w:val="20"/>
                <w:color w:val="auto"/>
              </w:rPr>
            </w:pPr>
            <w:r>
              <w:rPr>
                <w:rFonts w:ascii="Arial" w:cs="Arial" w:eastAsia="Arial" w:hAnsi="Arial"/>
                <w:sz w:val="14"/>
                <w:szCs w:val="14"/>
                <w:b w:val="1"/>
                <w:bCs w:val="1"/>
                <w:color w:val="FFFFFF"/>
              </w:rPr>
              <w:t>Spas</w:t>
            </w:r>
          </w:p>
        </w:tc>
        <w:tc>
          <w:tcPr>
            <w:tcW w:w="480" w:type="dxa"/>
            <w:vAlign w:val="bottom"/>
            <w:tcBorders>
              <w:bottom w:val="single" w:sz="8" w:color="202124"/>
            </w:tcBorders>
            <w:textDirection w:val="btLr"/>
            <w:shd w:val="clear" w:color="auto" w:fill="202124"/>
          </w:tcPr>
          <w:p>
            <w:pPr>
              <w:ind w:right="219"/>
              <w:spacing w:after="0" w:line="194" w:lineRule="auto"/>
              <w:rPr>
                <w:sz w:val="20"/>
                <w:szCs w:val="20"/>
                <w:color w:val="auto"/>
              </w:rPr>
            </w:pPr>
            <w:r>
              <w:rPr>
                <w:rFonts w:ascii="Arial" w:cs="Arial" w:eastAsia="Arial" w:hAnsi="Arial"/>
                <w:sz w:val="14"/>
                <w:szCs w:val="14"/>
                <w:b w:val="1"/>
                <w:bCs w:val="1"/>
                <w:color w:val="FFFFFF"/>
              </w:rPr>
              <w:t>Total(#)</w:t>
            </w:r>
          </w:p>
        </w:tc>
        <w:tc>
          <w:tcPr>
            <w:tcW w:w="460" w:type="dxa"/>
            <w:vAlign w:val="bottom"/>
            <w:tcBorders>
              <w:bottom w:val="single" w:sz="8" w:color="202124"/>
              <w:right w:val="single" w:sz="8" w:color="auto"/>
            </w:tcBorders>
            <w:textDirection w:val="btLr"/>
            <w:shd w:val="clear" w:color="auto" w:fill="202124"/>
          </w:tcPr>
          <w:p>
            <w:pPr>
              <w:ind w:right="233"/>
              <w:spacing w:after="0" w:line="194" w:lineRule="auto"/>
              <w:rPr>
                <w:sz w:val="20"/>
                <w:szCs w:val="20"/>
                <w:color w:val="auto"/>
              </w:rPr>
            </w:pPr>
            <w:r>
              <w:rPr>
                <w:rFonts w:ascii="Arial" w:cs="Arial" w:eastAsia="Arial" w:hAnsi="Arial"/>
                <w:sz w:val="14"/>
                <w:szCs w:val="14"/>
                <w:b w:val="1"/>
                <w:bCs w:val="1"/>
                <w:color w:val="FFFFFF"/>
              </w:rPr>
              <w:t>Total(%)</w:t>
            </w:r>
          </w:p>
        </w:tc>
      </w:tr>
      <w:tr>
        <w:trPr>
          <w:trHeight w:val="256"/>
        </w:trPr>
        <w:tc>
          <w:tcPr>
            <w:tcW w:w="3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F37F00"/>
              </w:rPr>
              <w:t>DIVERSITY</w:t>
            </w:r>
          </w:p>
        </w:tc>
        <w:tc>
          <w:tcPr>
            <w:tcW w:w="480" w:type="dxa"/>
            <w:vAlign w:val="bottom"/>
            <w:tcBorders>
              <w:bottom w:val="single" w:sz="8" w:color="F3F3F3"/>
            </w:tcBorders>
            <w:shd w:val="clear" w:color="auto" w:fill="F3F3F3"/>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00" w:type="dxa"/>
            <w:vAlign w:val="bottom"/>
            <w:tcBorders>
              <w:bottom w:val="single" w:sz="8" w:color="F3F3F3"/>
            </w:tcBorders>
            <w:shd w:val="clear" w:color="auto" w:fill="F3F3F3"/>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Borders>
              <w:bottom w:val="single" w:sz="8" w:color="F3F3F3"/>
            </w:tcBorders>
            <w:shd w:val="clear" w:color="auto" w:fill="F3F3F3"/>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Borders>
              <w:bottom w:val="single" w:sz="8" w:color="F3F3F3"/>
            </w:tcBorders>
            <w:shd w:val="clear" w:color="auto" w:fill="F3F3F3"/>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Borders>
              <w:bottom w:val="single" w:sz="8" w:color="F3F3F3"/>
            </w:tcBorders>
            <w:shd w:val="clear" w:color="auto" w:fill="F3F3F3"/>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480" w:type="dxa"/>
            <w:vAlign w:val="bottom"/>
            <w:tcBorders>
              <w:bottom w:val="single" w:sz="8" w:color="F3F3F3"/>
            </w:tcBorders>
            <w:shd w:val="clear" w:color="auto" w:fill="F3F3F3"/>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r>
      <w:tr>
        <w:trPr>
          <w:trHeight w:val="245"/>
        </w:trPr>
        <w:tc>
          <w:tcPr>
            <w:tcW w:w="362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Gender</w:t>
            </w:r>
          </w:p>
        </w:tc>
        <w:tc>
          <w:tcPr>
            <w:tcW w:w="480" w:type="dxa"/>
            <w:vAlign w:val="bottom"/>
            <w:tcBorders>
              <w:top w:val="single" w:sz="8" w:color="auto"/>
              <w:bottom w:val="single" w:sz="8" w:color="auto"/>
            </w:tcBorders>
            <w:shd w:val="clear" w:color="auto" w:fill="F3F3F3"/>
          </w:tcPr>
          <w:p>
            <w:pPr>
              <w:spacing w:after="0"/>
              <w:rPr>
                <w:sz w:val="21"/>
                <w:szCs w:val="21"/>
                <w:color w:val="auto"/>
              </w:rPr>
            </w:pPr>
          </w:p>
        </w:tc>
        <w:tc>
          <w:tcPr>
            <w:tcW w:w="540" w:type="dxa"/>
            <w:vAlign w:val="bottom"/>
            <w:tcBorders>
              <w:top w:val="single" w:sz="8" w:color="auto"/>
              <w:bottom w:val="single" w:sz="8" w:color="auto"/>
              <w:right w:val="single" w:sz="8" w:color="auto"/>
            </w:tcBorders>
          </w:tcPr>
          <w:p>
            <w:pPr>
              <w:spacing w:after="0"/>
              <w:rPr>
                <w:sz w:val="21"/>
                <w:szCs w:val="21"/>
                <w:color w:val="auto"/>
              </w:rPr>
            </w:pPr>
          </w:p>
        </w:tc>
        <w:tc>
          <w:tcPr>
            <w:tcW w:w="500" w:type="dxa"/>
            <w:vAlign w:val="bottom"/>
            <w:tcBorders>
              <w:top w:val="single" w:sz="8" w:color="auto"/>
              <w:bottom w:val="single" w:sz="8" w:color="auto"/>
            </w:tcBorders>
            <w:shd w:val="clear" w:color="auto" w:fill="F3F3F3"/>
          </w:tcPr>
          <w:p>
            <w:pPr>
              <w:spacing w:after="0"/>
              <w:rPr>
                <w:sz w:val="21"/>
                <w:szCs w:val="21"/>
                <w:color w:val="auto"/>
              </w:rPr>
            </w:pPr>
          </w:p>
        </w:tc>
        <w:tc>
          <w:tcPr>
            <w:tcW w:w="5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F3F3F3"/>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shd w:val="clear" w:color="auto" w:fill="F3F3F3"/>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right w:val="single" w:sz="8" w:color="auto"/>
            </w:tcBorders>
          </w:tcPr>
          <w:p>
            <w:pPr>
              <w:spacing w:after="0"/>
              <w:rPr>
                <w:sz w:val="21"/>
                <w:szCs w:val="21"/>
                <w:color w:val="auto"/>
              </w:rPr>
            </w:pPr>
          </w:p>
        </w:tc>
        <w:tc>
          <w:tcPr>
            <w:tcW w:w="480" w:type="dxa"/>
            <w:vAlign w:val="bottom"/>
            <w:tcBorders>
              <w:top w:val="single" w:sz="8" w:color="auto"/>
              <w:bottom w:val="single" w:sz="8" w:color="auto"/>
            </w:tcBorders>
            <w:shd w:val="clear" w:color="auto" w:fill="F3F3F3"/>
          </w:tcPr>
          <w:p>
            <w:pPr>
              <w:jc w:val="right"/>
              <w:ind w:right="128"/>
              <w:spacing w:after="0"/>
              <w:rPr>
                <w:sz w:val="20"/>
                <w:szCs w:val="20"/>
                <w:color w:val="auto"/>
              </w:rPr>
            </w:pPr>
            <w:r>
              <w:rPr>
                <w:rFonts w:ascii="Arial" w:cs="Arial" w:eastAsia="Arial" w:hAnsi="Arial"/>
                <w:sz w:val="14"/>
                <w:szCs w:val="14"/>
                <w:b w:val="1"/>
                <w:bCs w:val="1"/>
                <w:color w:val="F37F00"/>
              </w:rPr>
              <w:t>3</w:t>
            </w:r>
          </w:p>
        </w:tc>
        <w:tc>
          <w:tcPr>
            <w:tcW w:w="460" w:type="dxa"/>
            <w:vAlign w:val="bottom"/>
            <w:tcBorders>
              <w:top w:val="single" w:sz="8" w:color="auto"/>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F37F00"/>
              </w:rPr>
              <w:t>38%</w:t>
            </w:r>
          </w:p>
        </w:tc>
      </w:tr>
      <w:tr>
        <w:trPr>
          <w:trHeight w:val="275"/>
        </w:trPr>
        <w:tc>
          <w:tcPr>
            <w:tcW w:w="362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Ethnic or Racial</w:t>
            </w:r>
          </w:p>
        </w:tc>
        <w:tc>
          <w:tcPr>
            <w:tcW w:w="480" w:type="dxa"/>
            <w:vAlign w:val="bottom"/>
            <w:tcBorders>
              <w:bottom w:val="single" w:sz="8" w:color="auto"/>
            </w:tcBorders>
            <w:shd w:val="clear" w:color="auto" w:fill="F3F3F3"/>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00" w:type="dxa"/>
            <w:vAlign w:val="bottom"/>
            <w:tcBorders>
              <w:bottom w:val="single" w:sz="8" w:color="auto"/>
            </w:tcBorders>
            <w:shd w:val="clear" w:color="auto" w:fill="F3F3F3"/>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shd w:val="clear" w:color="auto" w:fill="F3F3F3"/>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shd w:val="clear" w:color="auto" w:fill="F3F3F3"/>
          </w:tcPr>
          <w:p>
            <w:pPr>
              <w:spacing w:after="0"/>
              <w:rPr>
                <w:sz w:val="23"/>
                <w:szCs w:val="23"/>
                <w:color w:val="auto"/>
              </w:rPr>
            </w:pPr>
          </w:p>
        </w:tc>
        <w:tc>
          <w:tcPr>
            <w:tcW w:w="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F3F3F3"/>
          </w:tcPr>
          <w:p>
            <w:pPr>
              <w:jc w:val="right"/>
              <w:ind w:right="128"/>
              <w:spacing w:after="0"/>
              <w:rPr>
                <w:sz w:val="20"/>
                <w:szCs w:val="20"/>
                <w:color w:val="auto"/>
              </w:rPr>
            </w:pPr>
            <w:r>
              <w:rPr>
                <w:rFonts w:ascii="Arial" w:cs="Arial" w:eastAsia="Arial" w:hAnsi="Arial"/>
                <w:sz w:val="14"/>
                <w:szCs w:val="14"/>
                <w:b w:val="1"/>
                <w:bCs w:val="1"/>
                <w:color w:val="F37F00"/>
              </w:rPr>
              <w:t>3</w:t>
            </w:r>
          </w:p>
        </w:tc>
        <w:tc>
          <w:tcPr>
            <w:tcW w:w="4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F37F00"/>
              </w:rPr>
              <w:t>38%</w:t>
            </w: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REFRESHMENT</w:t>
      </w:r>
    </w:p>
    <w:p>
      <w:pPr>
        <w:spacing w:after="0" w:line="104" w:lineRule="exact"/>
        <w:rPr>
          <w:sz w:val="20"/>
          <w:szCs w:val="20"/>
          <w:color w:val="auto"/>
        </w:rPr>
      </w:pPr>
    </w:p>
    <w:p>
      <w:pPr>
        <w:ind w:left="640" w:right="40"/>
        <w:spacing w:after="0" w:line="247" w:lineRule="auto"/>
        <w:rPr>
          <w:sz w:val="20"/>
          <w:szCs w:val="20"/>
          <w:color w:val="auto"/>
        </w:rPr>
      </w:pPr>
      <w:r>
        <w:rPr>
          <w:rFonts w:ascii="Arial" w:cs="Arial" w:eastAsia="Arial" w:hAnsi="Arial"/>
          <w:sz w:val="18"/>
          <w:szCs w:val="18"/>
          <w:color w:val="202124"/>
        </w:rPr>
        <w:t>The Board has a variety of mechanisms in place to promote Board refreshment in a manner that we believe is well aligned with the long-term interests of AutoZone and its stockholders. In particular, the Board relies upon thorough and meaningful evaluations as well as a resignation policy in the event a director experiences a change in professional role or responsibility.</w:t>
      </w:r>
    </w:p>
    <w:p>
      <w:pPr>
        <w:spacing w:after="0" w:line="133" w:lineRule="exact"/>
        <w:rPr>
          <w:sz w:val="20"/>
          <w:szCs w:val="20"/>
          <w:color w:val="auto"/>
        </w:rPr>
      </w:pPr>
    </w:p>
    <w:p>
      <w:pPr>
        <w:ind w:left="640" w:right="120"/>
        <w:spacing w:after="0" w:line="242" w:lineRule="auto"/>
        <w:rPr>
          <w:sz w:val="20"/>
          <w:szCs w:val="20"/>
          <w:color w:val="auto"/>
        </w:rPr>
      </w:pPr>
      <w:r>
        <w:rPr>
          <w:rFonts w:ascii="Arial" w:cs="Arial" w:eastAsia="Arial" w:hAnsi="Arial"/>
          <w:sz w:val="18"/>
          <w:szCs w:val="18"/>
          <w:color w:val="202124"/>
        </w:rPr>
        <w:t>The Board does not have an age-based or tenure-based resignation policy. The Board believes a rigid numerical policy in either of these areas cannot adequately assess an individual director’s contribution, engagement and value to the overall effectiveness of the Board. Instead, we believe thoughtful succession planning and reflection of the Board’s overall composition allow us to refresh the makeup of the Board in a more organic and intentional manner. In fact, this commitment to refreshment is evidenced by the fact that we have had nine directors choose not to stand for reelection over the last decade, and four of our ten directors have served for less than five years.</w:t>
      </w:r>
    </w:p>
    <w:p>
      <w:pPr>
        <w:sectPr>
          <w:pgSz w:w="11900" w:h="16838" w:orient="portrait"/>
          <w:cols w:equalWidth="0" w:num="1">
            <w:col w:w="10400"/>
          </w:cols>
          <w:pgMar w:left="440" w:top="106"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2026 Proxy Statement                                                          </w:t>
      </w:r>
      <w:r>
        <w:rPr>
          <w:sz w:val="1"/>
          <w:szCs w:val="1"/>
          <w:color w:val="auto"/>
        </w:rPr>
        <w:drawing>
          <wp:inline distT="0" distB="0" distL="0" distR="0">
            <wp:extent cx="116586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15</w:t>
      </w:r>
    </w:p>
    <w:p>
      <w:pPr>
        <w:sectPr>
          <w:pgSz w:w="11900" w:h="16838" w:orient="portrait"/>
          <w:cols w:equalWidth="0" w:num="1">
            <w:col w:w="10400"/>
          </w:cols>
          <w:pgMar w:left="440" w:top="106" w:right="105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50" w:type="dxa"/>
        <w:tblCellMar>
          <w:top w:w="0" w:type="dxa"/>
          <w:left w:w="0" w:type="dxa"/>
          <w:bottom w:w="0" w:type="dxa"/>
          <w:right w:w="0" w:type="dxa"/>
        </w:tblCellMar>
      </w:tblPr>
      <w:tr>
        <w:trPr>
          <w:trHeight w:val="282"/>
        </w:trPr>
        <w:tc>
          <w:tcPr>
            <w:tcW w:w="3640" w:type="dxa"/>
            <w:vAlign w:val="bottom"/>
            <w:tcBorders>
              <w:top w:val="single" w:sz="8" w:color="auto"/>
              <w:left w:val="single" w:sz="8" w:color="auto"/>
              <w:right w:val="single" w:sz="8" w:color="202124"/>
            </w:tcBorders>
            <w:shd w:val="clear" w:color="auto" w:fill="202124"/>
          </w:tcPr>
          <w:p>
            <w:pPr>
              <w:spacing w:after="0"/>
              <w:rPr>
                <w:sz w:val="24"/>
                <w:szCs w:val="24"/>
                <w:color w:val="auto"/>
              </w:rPr>
            </w:pPr>
          </w:p>
        </w:tc>
        <w:tc>
          <w:tcPr>
            <w:tcW w:w="460" w:type="dxa"/>
            <w:vAlign w:val="bottom"/>
            <w:tcBorders>
              <w:top w:val="single" w:sz="8" w:color="auto"/>
            </w:tcBorders>
            <w:shd w:val="clear" w:color="auto" w:fill="202124"/>
          </w:tcPr>
          <w:p>
            <w:pPr>
              <w:spacing w:after="0"/>
              <w:rPr>
                <w:sz w:val="24"/>
                <w:szCs w:val="24"/>
                <w:color w:val="auto"/>
              </w:rPr>
            </w:pPr>
          </w:p>
        </w:tc>
        <w:tc>
          <w:tcPr>
            <w:tcW w:w="520" w:type="dxa"/>
            <w:vAlign w:val="bottom"/>
            <w:tcBorders>
              <w:top w:val="single" w:sz="8" w:color="auto"/>
              <w:right w:val="single" w:sz="8" w:color="202124"/>
            </w:tcBorders>
            <w:shd w:val="clear" w:color="auto" w:fill="202124"/>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Independent Directors</w:t>
            </w:r>
          </w:p>
        </w:tc>
        <w:tc>
          <w:tcPr>
            <w:tcW w:w="5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r>
      <w:tr>
        <w:trPr>
          <w:trHeight w:val="69"/>
        </w:trPr>
        <w:tc>
          <w:tcPr>
            <w:tcW w:w="3640" w:type="dxa"/>
            <w:vAlign w:val="bottom"/>
            <w:tcBorders>
              <w:left w:val="single" w:sz="8" w:color="auto"/>
              <w:right w:val="single" w:sz="8" w:color="202124"/>
            </w:tcBorders>
            <w:shd w:val="clear" w:color="auto" w:fill="202124"/>
          </w:tcPr>
          <w:p>
            <w:pPr>
              <w:spacing w:after="0"/>
              <w:rPr>
                <w:sz w:val="6"/>
                <w:szCs w:val="6"/>
                <w:color w:val="auto"/>
              </w:rPr>
            </w:pPr>
          </w:p>
        </w:tc>
        <w:tc>
          <w:tcPr>
            <w:tcW w:w="460" w:type="dxa"/>
            <w:vAlign w:val="bottom"/>
            <w:shd w:val="clear" w:color="auto" w:fill="202124"/>
          </w:tcPr>
          <w:p>
            <w:pPr>
              <w:spacing w:after="0"/>
              <w:rPr>
                <w:sz w:val="6"/>
                <w:szCs w:val="6"/>
                <w:color w:val="auto"/>
              </w:rPr>
            </w:pPr>
          </w:p>
        </w:tc>
        <w:tc>
          <w:tcPr>
            <w:tcW w:w="520" w:type="dxa"/>
            <w:vAlign w:val="bottom"/>
            <w:tcBorders>
              <w:right w:val="single" w:sz="8" w:color="202124"/>
            </w:tcBorders>
            <w:shd w:val="clear" w:color="auto" w:fill="202124"/>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r>
      <w:tr>
        <w:trPr>
          <w:trHeight w:val="871"/>
        </w:trPr>
        <w:tc>
          <w:tcPr>
            <w:tcW w:w="3640" w:type="dxa"/>
            <w:vAlign w:val="bottom"/>
            <w:tcBorders>
              <w:left w:val="single" w:sz="8" w:color="auto"/>
              <w:bottom w:val="single" w:sz="8" w:color="202124"/>
              <w:right w:val="single" w:sz="8" w:color="auto"/>
            </w:tcBorders>
            <w:shd w:val="clear" w:color="auto" w:fill="202124"/>
          </w:tcPr>
          <w:p>
            <w:pPr>
              <w:spacing w:after="0"/>
              <w:rPr>
                <w:sz w:val="24"/>
                <w:szCs w:val="24"/>
                <w:color w:val="auto"/>
              </w:rPr>
            </w:pPr>
          </w:p>
        </w:tc>
        <w:tc>
          <w:tcPr>
            <w:tcW w:w="460" w:type="dxa"/>
            <w:vAlign w:val="bottom"/>
            <w:tcBorders>
              <w:bottom w:val="single" w:sz="8" w:color="202124"/>
            </w:tcBorders>
            <w:textDirection w:val="btLr"/>
            <w:shd w:val="clear" w:color="auto" w:fill="202124"/>
          </w:tcPr>
          <w:p>
            <w:pPr>
              <w:ind w:left="142"/>
              <w:spacing w:after="0"/>
              <w:rPr>
                <w:sz w:val="20"/>
                <w:szCs w:val="20"/>
                <w:color w:val="auto"/>
              </w:rPr>
            </w:pPr>
            <w:r>
              <w:rPr>
                <w:rFonts w:ascii="Arial" w:cs="Arial" w:eastAsia="Arial" w:hAnsi="Arial"/>
                <w:sz w:val="14"/>
                <w:szCs w:val="14"/>
                <w:b w:val="1"/>
                <w:bCs w:val="1"/>
                <w:color w:val="FFFFFF"/>
              </w:rPr>
              <w:t>Daniele</w:t>
            </w:r>
          </w:p>
        </w:tc>
        <w:tc>
          <w:tcPr>
            <w:tcW w:w="520" w:type="dxa"/>
            <w:vAlign w:val="bottom"/>
            <w:tcBorders>
              <w:bottom w:val="single" w:sz="8" w:color="202124"/>
              <w:right w:val="single" w:sz="8" w:color="auto"/>
            </w:tcBorders>
            <w:textDirection w:val="btLr"/>
            <w:shd w:val="clear" w:color="auto" w:fill="202124"/>
          </w:tcPr>
          <w:p>
            <w:pPr>
              <w:ind w:left="155"/>
              <w:spacing w:after="0"/>
              <w:rPr>
                <w:sz w:val="20"/>
                <w:szCs w:val="20"/>
                <w:color w:val="auto"/>
              </w:rPr>
            </w:pPr>
            <w:r>
              <w:rPr>
                <w:rFonts w:ascii="Arial" w:cs="Arial" w:eastAsia="Arial" w:hAnsi="Arial"/>
                <w:sz w:val="14"/>
                <w:szCs w:val="14"/>
                <w:b w:val="1"/>
                <w:bCs w:val="1"/>
                <w:color w:val="FFFFFF"/>
              </w:rPr>
              <w:t>Rhodes</w:t>
            </w:r>
          </w:p>
        </w:tc>
        <w:tc>
          <w:tcPr>
            <w:tcW w:w="480" w:type="dxa"/>
            <w:vAlign w:val="bottom"/>
            <w:tcBorders>
              <w:left w:val="single" w:sz="8" w:color="auto"/>
              <w:bottom w:val="single" w:sz="8" w:color="202124"/>
            </w:tcBorders>
            <w:textDirection w:val="btLr"/>
            <w:shd w:val="clear" w:color="auto" w:fill="202124"/>
          </w:tcPr>
          <w:p>
            <w:pPr>
              <w:ind w:left="161"/>
              <w:spacing w:after="0"/>
              <w:rPr>
                <w:sz w:val="20"/>
                <w:szCs w:val="20"/>
                <w:color w:val="auto"/>
              </w:rPr>
            </w:pPr>
            <w:r>
              <w:rPr>
                <w:rFonts w:ascii="Arial" w:cs="Arial" w:eastAsia="Arial" w:hAnsi="Arial"/>
                <w:sz w:val="14"/>
                <w:szCs w:val="14"/>
                <w:b w:val="1"/>
                <w:bCs w:val="1"/>
                <w:color w:val="FFFFFF"/>
              </w:rPr>
              <w:t>George</w:t>
            </w:r>
          </w:p>
        </w:tc>
        <w:tc>
          <w:tcPr>
            <w:tcW w:w="500" w:type="dxa"/>
            <w:vAlign w:val="bottom"/>
            <w:tcBorders>
              <w:bottom w:val="single" w:sz="8" w:color="202124"/>
            </w:tcBorders>
            <w:textDirection w:val="btLr"/>
            <w:shd w:val="clear" w:color="auto" w:fill="202124"/>
          </w:tcPr>
          <w:p>
            <w:pPr>
              <w:ind w:left="167"/>
              <w:spacing w:after="0"/>
              <w:rPr>
                <w:sz w:val="20"/>
                <w:szCs w:val="20"/>
                <w:color w:val="auto"/>
              </w:rPr>
            </w:pPr>
            <w:r>
              <w:rPr>
                <w:rFonts w:ascii="Arial" w:cs="Arial" w:eastAsia="Arial" w:hAnsi="Arial"/>
                <w:sz w:val="14"/>
                <w:szCs w:val="14"/>
                <w:b w:val="1"/>
                <w:bCs w:val="1"/>
                <w:color w:val="FFFFFF"/>
              </w:rPr>
              <w:t>Goodspeed</w:t>
            </w:r>
          </w:p>
        </w:tc>
        <w:tc>
          <w:tcPr>
            <w:tcW w:w="500" w:type="dxa"/>
            <w:vAlign w:val="bottom"/>
            <w:tcBorders>
              <w:bottom w:val="single" w:sz="8" w:color="202124"/>
            </w:tcBorders>
            <w:textDirection w:val="btLr"/>
            <w:shd w:val="clear" w:color="auto" w:fill="202124"/>
          </w:tcPr>
          <w:p>
            <w:pPr>
              <w:ind w:left="167"/>
              <w:spacing w:after="0"/>
              <w:rPr>
                <w:sz w:val="20"/>
                <w:szCs w:val="20"/>
                <w:color w:val="auto"/>
              </w:rPr>
            </w:pPr>
            <w:r>
              <w:rPr>
                <w:rFonts w:ascii="Arial" w:cs="Arial" w:eastAsia="Arial" w:hAnsi="Arial"/>
                <w:sz w:val="14"/>
                <w:szCs w:val="14"/>
                <w:b w:val="1"/>
                <w:bCs w:val="1"/>
                <w:color w:val="FFFFFF"/>
              </w:rPr>
              <w:t>Graves</w:t>
            </w:r>
          </w:p>
        </w:tc>
        <w:tc>
          <w:tcPr>
            <w:tcW w:w="500" w:type="dxa"/>
            <w:vAlign w:val="bottom"/>
            <w:tcBorders>
              <w:bottom w:val="single" w:sz="8" w:color="202124"/>
            </w:tcBorders>
            <w:textDirection w:val="btLr"/>
            <w:shd w:val="clear" w:color="auto" w:fill="202124"/>
          </w:tcPr>
          <w:p>
            <w:pPr>
              <w:ind w:left="153"/>
              <w:spacing w:after="0"/>
              <w:rPr>
                <w:sz w:val="20"/>
                <w:szCs w:val="20"/>
                <w:color w:val="auto"/>
              </w:rPr>
            </w:pPr>
            <w:r>
              <w:rPr>
                <w:rFonts w:ascii="Arial" w:cs="Arial" w:eastAsia="Arial" w:hAnsi="Arial"/>
                <w:sz w:val="14"/>
                <w:szCs w:val="14"/>
                <w:b w:val="1"/>
                <w:bCs w:val="1"/>
                <w:color w:val="FFFFFF"/>
              </w:rPr>
              <w:t>Hannasch</w:t>
            </w:r>
          </w:p>
        </w:tc>
        <w:tc>
          <w:tcPr>
            <w:tcW w:w="480" w:type="dxa"/>
            <w:vAlign w:val="bottom"/>
            <w:tcBorders>
              <w:bottom w:val="single" w:sz="8" w:color="202124"/>
            </w:tcBorders>
            <w:textDirection w:val="btLr"/>
            <w:shd w:val="clear" w:color="auto" w:fill="202124"/>
          </w:tcPr>
          <w:p>
            <w:pPr>
              <w:ind w:left="139"/>
              <w:spacing w:after="0"/>
              <w:rPr>
                <w:sz w:val="20"/>
                <w:szCs w:val="20"/>
                <w:color w:val="auto"/>
              </w:rPr>
            </w:pPr>
            <w:r>
              <w:rPr>
                <w:rFonts w:ascii="Arial" w:cs="Arial" w:eastAsia="Arial" w:hAnsi="Arial"/>
                <w:sz w:val="14"/>
                <w:szCs w:val="14"/>
                <w:b w:val="1"/>
                <w:bCs w:val="1"/>
                <w:color w:val="FFFFFF"/>
              </w:rPr>
              <w:t>King</w:t>
            </w:r>
          </w:p>
        </w:tc>
        <w:tc>
          <w:tcPr>
            <w:tcW w:w="480" w:type="dxa"/>
            <w:vAlign w:val="bottom"/>
            <w:tcBorders>
              <w:bottom w:val="single" w:sz="8" w:color="202124"/>
            </w:tcBorders>
            <w:textDirection w:val="btLr"/>
            <w:shd w:val="clear" w:color="auto" w:fill="202124"/>
          </w:tcPr>
          <w:p>
            <w:pPr>
              <w:ind w:left="145"/>
              <w:spacing w:after="0"/>
              <w:rPr>
                <w:sz w:val="20"/>
                <w:szCs w:val="20"/>
                <w:color w:val="auto"/>
              </w:rPr>
            </w:pPr>
            <w:r>
              <w:rPr>
                <w:rFonts w:ascii="Arial" w:cs="Arial" w:eastAsia="Arial" w:hAnsi="Arial"/>
                <w:sz w:val="14"/>
                <w:szCs w:val="14"/>
                <w:b w:val="1"/>
                <w:bCs w:val="1"/>
                <w:color w:val="FFFFFF"/>
              </w:rPr>
              <w:t>Mrkonic</w:t>
            </w:r>
          </w:p>
        </w:tc>
        <w:tc>
          <w:tcPr>
            <w:tcW w:w="480" w:type="dxa"/>
            <w:vAlign w:val="bottom"/>
            <w:tcBorders>
              <w:bottom w:val="single" w:sz="8" w:color="202124"/>
            </w:tcBorders>
            <w:textDirection w:val="btLr"/>
            <w:shd w:val="clear" w:color="auto" w:fill="202124"/>
          </w:tcPr>
          <w:p>
            <w:pPr>
              <w:ind w:left="151"/>
              <w:spacing w:after="0"/>
              <w:rPr>
                <w:sz w:val="20"/>
                <w:szCs w:val="20"/>
                <w:color w:val="auto"/>
              </w:rPr>
            </w:pPr>
            <w:r>
              <w:rPr>
                <w:rFonts w:ascii="Arial" w:cs="Arial" w:eastAsia="Arial" w:hAnsi="Arial"/>
                <w:sz w:val="14"/>
                <w:szCs w:val="14"/>
                <w:b w:val="1"/>
                <w:bCs w:val="1"/>
                <w:color w:val="FFFFFF"/>
              </w:rPr>
              <w:t>Soltau</w:t>
            </w:r>
          </w:p>
        </w:tc>
        <w:tc>
          <w:tcPr>
            <w:tcW w:w="520" w:type="dxa"/>
            <w:vAlign w:val="bottom"/>
            <w:tcBorders>
              <w:bottom w:val="single" w:sz="8" w:color="202124"/>
              <w:right w:val="single" w:sz="8" w:color="auto"/>
            </w:tcBorders>
            <w:textDirection w:val="btLr"/>
            <w:shd w:val="clear" w:color="auto" w:fill="202124"/>
          </w:tcPr>
          <w:p>
            <w:pPr>
              <w:ind w:left="157"/>
              <w:spacing w:after="0"/>
              <w:rPr>
                <w:sz w:val="20"/>
                <w:szCs w:val="20"/>
                <w:color w:val="auto"/>
              </w:rPr>
            </w:pPr>
            <w:r>
              <w:rPr>
                <w:rFonts w:ascii="Arial" w:cs="Arial" w:eastAsia="Arial" w:hAnsi="Arial"/>
                <w:sz w:val="14"/>
                <w:szCs w:val="14"/>
                <w:b w:val="1"/>
                <w:bCs w:val="1"/>
                <w:color w:val="FFFFFF"/>
              </w:rPr>
              <w:t>Spas</w:t>
            </w:r>
          </w:p>
        </w:tc>
        <w:tc>
          <w:tcPr>
            <w:tcW w:w="460" w:type="dxa"/>
            <w:vAlign w:val="bottom"/>
            <w:tcBorders>
              <w:bottom w:val="single" w:sz="8" w:color="202124"/>
            </w:tcBorders>
            <w:textDirection w:val="btLr"/>
            <w:shd w:val="clear" w:color="auto" w:fill="202124"/>
          </w:tcPr>
          <w:p>
            <w:pPr>
              <w:ind w:right="178"/>
              <w:spacing w:after="0"/>
              <w:rPr>
                <w:sz w:val="20"/>
                <w:szCs w:val="20"/>
                <w:color w:val="auto"/>
              </w:rPr>
            </w:pPr>
            <w:r>
              <w:rPr>
                <w:rFonts w:ascii="Arial" w:cs="Arial" w:eastAsia="Arial" w:hAnsi="Arial"/>
                <w:sz w:val="14"/>
                <w:szCs w:val="14"/>
                <w:b w:val="1"/>
                <w:bCs w:val="1"/>
                <w:color w:val="FFFFFF"/>
              </w:rPr>
              <w:t>Total(#)</w:t>
            </w:r>
          </w:p>
        </w:tc>
        <w:tc>
          <w:tcPr>
            <w:tcW w:w="740" w:type="dxa"/>
            <w:vAlign w:val="bottom"/>
            <w:tcBorders>
              <w:bottom w:val="single" w:sz="8" w:color="202124"/>
              <w:right w:val="single" w:sz="8" w:color="auto"/>
            </w:tcBorders>
            <w:textDirection w:val="btLr"/>
            <w:shd w:val="clear" w:color="auto" w:fill="202124"/>
          </w:tcPr>
          <w:p>
            <w:pPr>
              <w:ind w:right="338"/>
              <w:spacing w:after="0"/>
              <w:rPr>
                <w:sz w:val="20"/>
                <w:szCs w:val="20"/>
                <w:color w:val="auto"/>
              </w:rPr>
            </w:pPr>
            <w:r>
              <w:rPr>
                <w:rFonts w:ascii="Arial" w:cs="Arial" w:eastAsia="Arial" w:hAnsi="Arial"/>
                <w:sz w:val="14"/>
                <w:szCs w:val="14"/>
                <w:b w:val="1"/>
                <w:bCs w:val="1"/>
                <w:color w:val="FFFFFF"/>
              </w:rPr>
              <w:t>Total(%)</w:t>
            </w:r>
          </w:p>
        </w:tc>
      </w:tr>
      <w:tr>
        <w:trPr>
          <w:trHeight w:val="256"/>
        </w:trPr>
        <w:tc>
          <w:tcPr>
            <w:tcW w:w="3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F37F00"/>
              </w:rPr>
              <w:t>TENURE</w:t>
            </w:r>
          </w:p>
        </w:tc>
        <w:tc>
          <w:tcPr>
            <w:tcW w:w="460" w:type="dxa"/>
            <w:vAlign w:val="bottom"/>
            <w:tcBorders>
              <w:bottom w:val="single" w:sz="8" w:color="F3F3F3"/>
            </w:tcBorders>
            <w:shd w:val="clear" w:color="auto" w:fill="F3F3F3"/>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80" w:type="dxa"/>
            <w:vAlign w:val="bottom"/>
            <w:tcBorders>
              <w:left w:val="single" w:sz="8" w:color="auto"/>
              <w:bottom w:val="single" w:sz="8" w:color="F3F3F3"/>
            </w:tcBorders>
            <w:shd w:val="clear" w:color="auto" w:fill="F3F3F3"/>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Borders>
              <w:bottom w:val="single" w:sz="8" w:color="F3F3F3"/>
            </w:tcBorders>
            <w:shd w:val="clear" w:color="auto" w:fill="F3F3F3"/>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Borders>
              <w:bottom w:val="single" w:sz="8" w:color="F3F3F3"/>
            </w:tcBorders>
            <w:shd w:val="clear" w:color="auto" w:fill="F3F3F3"/>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Borders>
              <w:bottom w:val="single" w:sz="8" w:color="F3F3F3"/>
            </w:tcBorders>
            <w:shd w:val="clear" w:color="auto" w:fill="F3F3F3"/>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60" w:type="dxa"/>
            <w:vAlign w:val="bottom"/>
            <w:tcBorders>
              <w:bottom w:val="single" w:sz="8" w:color="F3F3F3"/>
            </w:tcBorders>
            <w:shd w:val="clear" w:color="auto" w:fill="F3F3F3"/>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r>
      <w:tr>
        <w:trPr>
          <w:trHeight w:val="245"/>
        </w:trPr>
        <w:tc>
          <w:tcPr>
            <w:tcW w:w="364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0-5 Years</w:t>
            </w:r>
          </w:p>
        </w:tc>
        <w:tc>
          <w:tcPr>
            <w:tcW w:w="460" w:type="dxa"/>
            <w:vAlign w:val="bottom"/>
            <w:tcBorders>
              <w:top w:val="single" w:sz="8" w:color="auto"/>
              <w:bottom w:val="single" w:sz="8" w:color="auto"/>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right w:val="single" w:sz="8" w:color="auto"/>
            </w:tcBorders>
          </w:tcPr>
          <w:p>
            <w:pPr>
              <w:spacing w:after="0"/>
              <w:rPr>
                <w:sz w:val="21"/>
                <w:szCs w:val="21"/>
                <w:color w:val="auto"/>
              </w:rPr>
            </w:pPr>
          </w:p>
        </w:tc>
        <w:tc>
          <w:tcPr>
            <w:tcW w:w="480" w:type="dxa"/>
            <w:vAlign w:val="bottom"/>
            <w:tcBorders>
              <w:top w:val="single" w:sz="8" w:color="auto"/>
              <w:left w:val="single" w:sz="8" w:color="auto"/>
              <w:bottom w:val="single" w:sz="8" w:color="auto"/>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shd w:val="clear" w:color="auto" w:fill="F3F3F3"/>
          </w:tcPr>
          <w:p>
            <w:pPr>
              <w:spacing w:after="0"/>
              <w:rPr>
                <w:sz w:val="21"/>
                <w:szCs w:val="21"/>
                <w:color w:val="auto"/>
              </w:rPr>
            </w:pPr>
          </w:p>
        </w:tc>
        <w:tc>
          <w:tcPr>
            <w:tcW w:w="5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F3F3F3"/>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shd w:val="clear" w:color="auto" w:fill="F3F3F3"/>
          </w:tcPr>
          <w:p>
            <w:pPr>
              <w:spacing w:after="0"/>
              <w:rPr>
                <w:sz w:val="21"/>
                <w:szCs w:val="21"/>
                <w:color w:val="auto"/>
              </w:rPr>
            </w:pPr>
          </w:p>
        </w:tc>
        <w:tc>
          <w:tcPr>
            <w:tcW w:w="52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F3F3F3"/>
          </w:tcPr>
          <w:p>
            <w:pPr>
              <w:jc w:val="right"/>
              <w:ind w:right="108"/>
              <w:spacing w:after="0"/>
              <w:rPr>
                <w:sz w:val="20"/>
                <w:szCs w:val="20"/>
                <w:color w:val="auto"/>
              </w:rPr>
            </w:pPr>
            <w:r>
              <w:rPr>
                <w:rFonts w:ascii="Arial" w:cs="Arial" w:eastAsia="Arial" w:hAnsi="Arial"/>
                <w:sz w:val="14"/>
                <w:szCs w:val="14"/>
                <w:b w:val="1"/>
                <w:bCs w:val="1"/>
                <w:color w:val="F37F00"/>
              </w:rPr>
              <w:t>3</w:t>
            </w:r>
          </w:p>
        </w:tc>
        <w:tc>
          <w:tcPr>
            <w:tcW w:w="740" w:type="dxa"/>
            <w:vAlign w:val="bottom"/>
            <w:tcBorders>
              <w:top w:val="single" w:sz="8" w:color="auto"/>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F37F00"/>
              </w:rPr>
              <w:t>38%</w:t>
            </w:r>
          </w:p>
        </w:tc>
      </w:tr>
      <w:tr>
        <w:trPr>
          <w:trHeight w:val="250"/>
        </w:trPr>
        <w:tc>
          <w:tcPr>
            <w:tcW w:w="364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6-10 Years</w:t>
            </w:r>
          </w:p>
        </w:tc>
        <w:tc>
          <w:tcPr>
            <w:tcW w:w="460" w:type="dxa"/>
            <w:vAlign w:val="bottom"/>
            <w:tcBorders>
              <w:bottom w:val="single" w:sz="8" w:color="auto"/>
            </w:tcBorders>
            <w:shd w:val="clear" w:color="auto" w:fill="F3F3F3"/>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480" w:type="dxa"/>
            <w:vAlign w:val="bottom"/>
            <w:tcBorders>
              <w:left w:val="single" w:sz="8" w:color="auto"/>
              <w:bottom w:val="single" w:sz="8" w:color="auto"/>
            </w:tcBorders>
            <w:shd w:val="clear" w:color="auto" w:fill="F3F3F3"/>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F3F3F3"/>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F3F3F3"/>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shd w:val="clear" w:color="auto" w:fill="F3F3F3"/>
          </w:tcPr>
          <w:p>
            <w:pPr>
              <w:jc w:val="right"/>
              <w:ind w:right="108"/>
              <w:spacing w:after="0"/>
              <w:rPr>
                <w:sz w:val="20"/>
                <w:szCs w:val="20"/>
                <w:color w:val="auto"/>
              </w:rPr>
            </w:pPr>
            <w:r>
              <w:rPr>
                <w:rFonts w:ascii="Arial" w:cs="Arial" w:eastAsia="Arial" w:hAnsi="Arial"/>
                <w:sz w:val="14"/>
                <w:szCs w:val="14"/>
                <w:b w:val="1"/>
                <w:bCs w:val="1"/>
                <w:color w:val="F37F00"/>
              </w:rPr>
              <w:t>2</w:t>
            </w:r>
          </w:p>
        </w:tc>
        <w:tc>
          <w:tcPr>
            <w:tcW w:w="7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F37F00"/>
              </w:rPr>
              <w:t>25%</w:t>
            </w:r>
          </w:p>
        </w:tc>
      </w:tr>
      <w:tr>
        <w:trPr>
          <w:trHeight w:val="250"/>
        </w:trPr>
        <w:tc>
          <w:tcPr>
            <w:tcW w:w="364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11-15 Years</w:t>
            </w:r>
          </w:p>
        </w:tc>
        <w:tc>
          <w:tcPr>
            <w:tcW w:w="460" w:type="dxa"/>
            <w:vAlign w:val="bottom"/>
            <w:tcBorders>
              <w:bottom w:val="single" w:sz="8" w:color="auto"/>
            </w:tcBorders>
            <w:shd w:val="clear" w:color="auto" w:fill="F3F3F3"/>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480" w:type="dxa"/>
            <w:vAlign w:val="bottom"/>
            <w:tcBorders>
              <w:left w:val="single" w:sz="8" w:color="auto"/>
              <w:bottom w:val="single" w:sz="8" w:color="auto"/>
            </w:tcBorders>
            <w:shd w:val="clear" w:color="auto" w:fill="F3F3F3"/>
          </w:tcPr>
          <w:p>
            <w:pPr>
              <w:spacing w:after="0"/>
              <w:rPr>
                <w:sz w:val="21"/>
                <w:szCs w:val="21"/>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F3F3F3"/>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F3F3F3"/>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F3F3F3"/>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shd w:val="clear" w:color="auto" w:fill="F3F3F3"/>
          </w:tcPr>
          <w:p>
            <w:pPr>
              <w:jc w:val="right"/>
              <w:ind w:right="108"/>
              <w:spacing w:after="0"/>
              <w:rPr>
                <w:sz w:val="20"/>
                <w:szCs w:val="20"/>
                <w:color w:val="auto"/>
              </w:rPr>
            </w:pPr>
            <w:r>
              <w:rPr>
                <w:rFonts w:ascii="Arial" w:cs="Arial" w:eastAsia="Arial" w:hAnsi="Arial"/>
                <w:sz w:val="14"/>
                <w:szCs w:val="14"/>
                <w:b w:val="1"/>
                <w:bCs w:val="1"/>
                <w:color w:val="F37F00"/>
              </w:rPr>
              <w:t>1</w:t>
            </w:r>
          </w:p>
        </w:tc>
        <w:tc>
          <w:tcPr>
            <w:tcW w:w="7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F37F00"/>
              </w:rPr>
              <w:t>13%</w:t>
            </w:r>
          </w:p>
        </w:tc>
      </w:tr>
      <w:tr>
        <w:trPr>
          <w:trHeight w:val="275"/>
        </w:trPr>
        <w:tc>
          <w:tcPr>
            <w:tcW w:w="364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15+ Years</w:t>
            </w:r>
          </w:p>
        </w:tc>
        <w:tc>
          <w:tcPr>
            <w:tcW w:w="460" w:type="dxa"/>
            <w:vAlign w:val="bottom"/>
            <w:tcBorders>
              <w:bottom w:val="single" w:sz="8" w:color="auto"/>
            </w:tcBorders>
            <w:shd w:val="clear" w:color="auto" w:fill="F3F3F3"/>
          </w:tcPr>
          <w:p>
            <w:pPr>
              <w:spacing w:after="0"/>
              <w:rPr>
                <w:sz w:val="23"/>
                <w:szCs w:val="23"/>
                <w:color w:val="auto"/>
              </w:rPr>
            </w:pPr>
          </w:p>
        </w:tc>
        <w:tc>
          <w:tcPr>
            <w:tcW w:w="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shd w:val="clear" w:color="auto" w:fill="F3F3F3"/>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shd w:val="clear" w:color="auto" w:fill="F3F3F3"/>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shd w:val="clear" w:color="auto" w:fill="F3F3F3"/>
          </w:tcPr>
          <w:p>
            <w:pPr>
              <w:spacing w:after="0"/>
              <w:rPr>
                <w:sz w:val="23"/>
                <w:szCs w:val="23"/>
                <w:color w:val="auto"/>
              </w:rPr>
            </w:pP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F3F3F3"/>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460" w:type="dxa"/>
            <w:vAlign w:val="bottom"/>
            <w:tcBorders>
              <w:bottom w:val="single" w:sz="8" w:color="auto"/>
            </w:tcBorders>
            <w:shd w:val="clear" w:color="auto" w:fill="F3F3F3"/>
          </w:tcPr>
          <w:p>
            <w:pPr>
              <w:jc w:val="right"/>
              <w:ind w:right="108"/>
              <w:spacing w:after="0"/>
              <w:rPr>
                <w:sz w:val="20"/>
                <w:szCs w:val="20"/>
                <w:color w:val="auto"/>
              </w:rPr>
            </w:pPr>
            <w:r>
              <w:rPr>
                <w:rFonts w:ascii="Arial" w:cs="Arial" w:eastAsia="Arial" w:hAnsi="Arial"/>
                <w:sz w:val="14"/>
                <w:szCs w:val="14"/>
                <w:b w:val="1"/>
                <w:bCs w:val="1"/>
                <w:color w:val="F37F00"/>
              </w:rPr>
              <w:t>2</w:t>
            </w:r>
          </w:p>
        </w:tc>
        <w:tc>
          <w:tcPr>
            <w:tcW w:w="7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F37F00"/>
              </w:rPr>
              <w:t>25%</w:t>
            </w:r>
          </w:p>
        </w:tc>
      </w:tr>
    </w:tbl>
    <w:p>
      <w:pPr>
        <w:spacing w:after="0" w:line="89" w:lineRule="exact"/>
        <w:rPr>
          <w:sz w:val="20"/>
          <w:szCs w:val="20"/>
          <w:color w:val="auto"/>
        </w:rPr>
      </w:pPr>
    </w:p>
    <w:p>
      <w:pPr>
        <w:ind w:left="640" w:right="80"/>
        <w:spacing w:after="0" w:line="251" w:lineRule="auto"/>
        <w:rPr>
          <w:sz w:val="20"/>
          <w:szCs w:val="20"/>
          <w:color w:val="auto"/>
        </w:rPr>
      </w:pPr>
      <w:r>
        <w:rPr>
          <w:rFonts w:ascii="Arial" w:cs="Arial" w:eastAsia="Arial" w:hAnsi="Arial"/>
          <w:sz w:val="17"/>
          <w:szCs w:val="17"/>
          <w:i w:val="1"/>
          <w:iCs w:val="1"/>
          <w:u w:val="single" w:color="auto"/>
          <w:color w:val="202124"/>
        </w:rPr>
        <w:t>Director Tenure</w:t>
      </w:r>
      <w:r>
        <w:rPr>
          <w:rFonts w:ascii="Arial" w:cs="Arial" w:eastAsia="Arial" w:hAnsi="Arial"/>
          <w:sz w:val="17"/>
          <w:szCs w:val="17"/>
          <w:color w:val="202124"/>
        </w:rPr>
        <w:t>. The Board regularly considers the tenure of our independent directors, noting that Mr. Graves and Mr.</w:t>
      </w:r>
      <w:r>
        <w:rPr>
          <w:rFonts w:ascii="Arial" w:cs="Arial" w:eastAsia="Arial" w:hAnsi="Arial"/>
          <w:sz w:val="17"/>
          <w:szCs w:val="17"/>
          <w:i w:val="1"/>
          <w:iCs w:val="1"/>
          <w:color w:val="202124"/>
        </w:rPr>
        <w:t xml:space="preserve"> </w:t>
      </w:r>
      <w:r>
        <w:rPr>
          <w:rFonts w:ascii="Arial" w:cs="Arial" w:eastAsia="Arial" w:hAnsi="Arial"/>
          <w:sz w:val="17"/>
          <w:szCs w:val="17"/>
          <w:color w:val="202124"/>
        </w:rPr>
        <w:t>Mrkonic have each served on the Board for greater than 15 years. Mr. Graves brings a wealth of experience and historical</w:t>
      </w:r>
    </w:p>
    <w:p>
      <w:pPr>
        <w:ind w:left="640"/>
        <w:spacing w:after="0" w:line="235" w:lineRule="auto"/>
        <w:rPr>
          <w:sz w:val="20"/>
          <w:szCs w:val="20"/>
          <w:color w:val="auto"/>
        </w:rPr>
      </w:pPr>
      <w:r>
        <w:rPr>
          <w:rFonts w:ascii="Arial" w:cs="Arial" w:eastAsia="Arial" w:hAnsi="Arial"/>
          <w:sz w:val="18"/>
          <w:szCs w:val="18"/>
          <w:color w:val="202124"/>
        </w:rPr>
        <w:t>knowledge regarding the Board and how it has been most effective in executing its oversight responsibilities. Mr. Mrkonic</w:t>
      </w:r>
    </w:p>
    <w:p>
      <w:pPr>
        <w:ind w:left="640" w:right="380"/>
        <w:spacing w:after="0"/>
        <w:rPr>
          <w:sz w:val="20"/>
          <w:szCs w:val="20"/>
          <w:color w:val="auto"/>
        </w:rPr>
      </w:pPr>
      <w:r>
        <w:rPr>
          <w:rFonts w:ascii="Arial" w:cs="Arial" w:eastAsia="Arial" w:hAnsi="Arial"/>
          <w:sz w:val="17"/>
          <w:szCs w:val="17"/>
          <w:color w:val="202124"/>
        </w:rPr>
        <w:t>has a deep understanding of both the Company as well as the retail industry as a whole, allowing him to challenge the status quo and offer insightful perspectives on matters of strategy, operations and corporate governance. For these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reasons, the Board believes each of Mr. Graves and Mr. Mrkonic continues to be a valued member of the Board.</w:t>
      </w:r>
    </w:p>
    <w:p>
      <w:pPr>
        <w:spacing w:after="0" w:line="86" w:lineRule="exact"/>
        <w:rPr>
          <w:sz w:val="20"/>
          <w:szCs w:val="20"/>
          <w:color w:val="auto"/>
        </w:rPr>
      </w:pPr>
    </w:p>
    <w:p>
      <w:pPr>
        <w:jc w:val="both"/>
        <w:ind w:left="640" w:right="160"/>
        <w:spacing w:after="0" w:line="251" w:lineRule="auto"/>
        <w:rPr>
          <w:sz w:val="20"/>
          <w:szCs w:val="20"/>
          <w:color w:val="auto"/>
        </w:rPr>
      </w:pPr>
      <w:r>
        <w:rPr>
          <w:rFonts w:ascii="Arial" w:cs="Arial" w:eastAsia="Arial" w:hAnsi="Arial"/>
          <w:sz w:val="17"/>
          <w:szCs w:val="17"/>
          <w:color w:val="202124"/>
        </w:rPr>
        <w:t>AutoZone has historically had a very tenured management team as is the case today. Just as we believe that a “tenured” management team is a huge asset and key contributor of our tremendous success in delivering returns in excess of 15%</w:t>
      </w:r>
    </w:p>
    <w:p>
      <w:pPr>
        <w:ind w:left="640"/>
        <w:spacing w:after="0" w:line="235" w:lineRule="auto"/>
        <w:rPr>
          <w:sz w:val="20"/>
          <w:szCs w:val="20"/>
          <w:color w:val="auto"/>
        </w:rPr>
      </w:pPr>
      <w:r>
        <w:rPr>
          <w:rFonts w:ascii="Arial" w:cs="Arial" w:eastAsia="Arial" w:hAnsi="Arial"/>
          <w:sz w:val="18"/>
          <w:szCs w:val="18"/>
          <w:color w:val="202124"/>
        </w:rPr>
        <w:t>compounded annually when measured over a 10, 20 or even 30-year period, we also believe having seasoned Board</w:t>
      </w:r>
    </w:p>
    <w:p>
      <w:pPr>
        <w:ind w:left="640" w:right="540"/>
        <w:spacing w:after="0"/>
        <w:rPr>
          <w:sz w:val="20"/>
          <w:szCs w:val="20"/>
          <w:color w:val="auto"/>
        </w:rPr>
      </w:pPr>
      <w:r>
        <w:rPr>
          <w:rFonts w:ascii="Arial" w:cs="Arial" w:eastAsia="Arial" w:hAnsi="Arial"/>
          <w:sz w:val="17"/>
          <w:szCs w:val="17"/>
          <w:color w:val="202124"/>
        </w:rPr>
        <w:t>members is equally important. Similarly, our tenure on the management team could become a weakness if we didn’t successfully recruit new AutoZoners who have differentiated skills and experiences, as evidenced by four Executive</w:t>
      </w:r>
    </w:p>
    <w:p>
      <w:pPr>
        <w:ind w:left="640"/>
        <w:spacing w:after="0" w:line="235" w:lineRule="auto"/>
        <w:rPr>
          <w:sz w:val="20"/>
          <w:szCs w:val="20"/>
          <w:color w:val="auto"/>
        </w:rPr>
      </w:pPr>
      <w:r>
        <w:rPr>
          <w:rFonts w:ascii="Arial" w:cs="Arial" w:eastAsia="Arial" w:hAnsi="Arial"/>
          <w:sz w:val="18"/>
          <w:szCs w:val="18"/>
          <w:color w:val="202124"/>
        </w:rPr>
        <w:t>Committee members with tenure of five years or less. We have the same beliefs on our Board composition—that a strong</w:t>
      </w:r>
    </w:p>
    <w:p>
      <w:pPr>
        <w:ind w:left="640" w:right="220"/>
        <w:spacing w:after="0"/>
        <w:rPr>
          <w:sz w:val="20"/>
          <w:szCs w:val="20"/>
          <w:color w:val="auto"/>
        </w:rPr>
      </w:pPr>
      <w:r>
        <w:rPr>
          <w:rFonts w:ascii="Arial" w:cs="Arial" w:eastAsia="Arial" w:hAnsi="Arial"/>
          <w:sz w:val="17"/>
          <w:szCs w:val="17"/>
          <w:color w:val="202124"/>
        </w:rPr>
        <w:t>mix of seasoned Board members and fresh perspectives provides for optimal effectiveness. As we work through Board succession and overall tenure, we don’t simply apply a first-in-first-out methodology. Instead, we thoughtfully explore the</w:t>
      </w:r>
    </w:p>
    <w:p>
      <w:pPr>
        <w:spacing w:after="0" w:line="1" w:lineRule="exact"/>
        <w:rPr>
          <w:sz w:val="20"/>
          <w:szCs w:val="20"/>
          <w:color w:val="auto"/>
        </w:rPr>
      </w:pPr>
    </w:p>
    <w:p>
      <w:pPr>
        <w:ind w:left="640" w:right="380"/>
        <w:spacing w:after="0"/>
        <w:rPr>
          <w:sz w:val="20"/>
          <w:szCs w:val="20"/>
          <w:color w:val="auto"/>
        </w:rPr>
      </w:pPr>
      <w:r>
        <w:rPr>
          <w:rFonts w:ascii="Arial" w:cs="Arial" w:eastAsia="Arial" w:hAnsi="Arial"/>
          <w:sz w:val="17"/>
          <w:szCs w:val="17"/>
          <w:color w:val="202124"/>
        </w:rPr>
        <w:t>skills, contributions and experiences we believe are most important in the ensuing years while also ensuring we have sufficient objectivity, freshness of perspectives and independence. This philosophy is evidenced by the appointment of</w:t>
      </w:r>
    </w:p>
    <w:p>
      <w:pPr>
        <w:ind w:left="640"/>
        <w:spacing w:after="0" w:line="235" w:lineRule="auto"/>
        <w:rPr>
          <w:sz w:val="20"/>
          <w:szCs w:val="20"/>
          <w:color w:val="auto"/>
        </w:rPr>
      </w:pPr>
      <w:r>
        <w:rPr>
          <w:rFonts w:ascii="Arial" w:cs="Arial" w:eastAsia="Arial" w:hAnsi="Arial"/>
          <w:sz w:val="18"/>
          <w:szCs w:val="18"/>
          <w:color w:val="202124"/>
        </w:rPr>
        <w:t>Ms. McDonough and Mr. Spas, who were appointed to the Board in 2025 after two directors chose not to stand for</w:t>
      </w:r>
    </w:p>
    <w:p>
      <w:pPr>
        <w:ind w:left="640" w:right="220"/>
        <w:spacing w:after="0"/>
        <w:rPr>
          <w:sz w:val="20"/>
          <w:szCs w:val="20"/>
          <w:color w:val="auto"/>
        </w:rPr>
      </w:pPr>
      <w:r>
        <w:rPr>
          <w:rFonts w:ascii="Arial" w:cs="Arial" w:eastAsia="Arial" w:hAnsi="Arial"/>
          <w:sz w:val="17"/>
          <w:szCs w:val="17"/>
          <w:color w:val="202124"/>
        </w:rPr>
        <w:t>reelection at the 2024 annual meeting. In October, Ms. McDonough communicated to the Company she would not stand for reelection to the Board at the 2026 Annual Meeting due to her new executive role with a different company, and that</w:t>
      </w:r>
    </w:p>
    <w:p>
      <w:pPr>
        <w:spacing w:after="0" w:line="1" w:lineRule="exact"/>
        <w:rPr>
          <w:sz w:val="20"/>
          <w:szCs w:val="20"/>
          <w:color w:val="auto"/>
        </w:rPr>
      </w:pPr>
    </w:p>
    <w:p>
      <w:pPr>
        <w:ind w:left="640" w:right="280"/>
        <w:spacing w:after="0" w:line="250" w:lineRule="auto"/>
        <w:rPr>
          <w:sz w:val="20"/>
          <w:szCs w:val="20"/>
          <w:color w:val="auto"/>
        </w:rPr>
      </w:pPr>
      <w:r>
        <w:rPr>
          <w:rFonts w:ascii="Arial" w:cs="Arial" w:eastAsia="Arial" w:hAnsi="Arial"/>
          <w:sz w:val="18"/>
          <w:szCs w:val="18"/>
          <w:color w:val="202124"/>
        </w:rPr>
        <w:t>company’s key events calendar conflicting with several of AutoZone’s future board meetings. The Board will continue to approach director tenure and succession in a thoughtful and disciplined manner.</w:t>
      </w:r>
    </w:p>
    <w:p>
      <w:pPr>
        <w:spacing w:after="0" w:line="50" w:lineRule="exact"/>
        <w:rPr>
          <w:sz w:val="20"/>
          <w:szCs w:val="20"/>
          <w:color w:val="auto"/>
        </w:rPr>
      </w:pPr>
    </w:p>
    <w:p>
      <w:pPr>
        <w:ind w:left="640" w:right="120"/>
        <w:spacing w:after="0" w:line="245" w:lineRule="auto"/>
        <w:rPr>
          <w:sz w:val="20"/>
          <w:szCs w:val="20"/>
          <w:color w:val="auto"/>
        </w:rPr>
      </w:pPr>
      <w:r>
        <w:rPr>
          <w:rFonts w:ascii="Arial" w:cs="Arial" w:eastAsia="Arial" w:hAnsi="Arial"/>
          <w:sz w:val="18"/>
          <w:szCs w:val="18"/>
          <w:i w:val="1"/>
          <w:iCs w:val="1"/>
          <w:u w:val="single" w:color="auto"/>
          <w:color w:val="202124"/>
        </w:rPr>
        <w:t>Director Commitments</w:t>
      </w:r>
      <w:r>
        <w:rPr>
          <w:rFonts w:ascii="Arial" w:cs="Arial" w:eastAsia="Arial" w:hAnsi="Arial"/>
          <w:sz w:val="18"/>
          <w:szCs w:val="18"/>
          <w:color w:val="202124"/>
        </w:rPr>
        <w:t>. The Board recognizes that a significant time commitment is required to be an effective member of</w:t>
      </w:r>
      <w:r>
        <w:rPr>
          <w:rFonts w:ascii="Arial" w:cs="Arial" w:eastAsia="Arial" w:hAnsi="Arial"/>
          <w:sz w:val="18"/>
          <w:szCs w:val="18"/>
          <w:i w:val="1"/>
          <w:iCs w:val="1"/>
          <w:color w:val="202124"/>
        </w:rPr>
        <w:t xml:space="preserve"> </w:t>
      </w:r>
      <w:r>
        <w:rPr>
          <w:rFonts w:ascii="Arial" w:cs="Arial" w:eastAsia="Arial" w:hAnsi="Arial"/>
          <w:sz w:val="18"/>
          <w:szCs w:val="18"/>
          <w:color w:val="202124"/>
        </w:rPr>
        <w:t>AutoZone’s Board. AutoZone’s Corporate Governance Principles reflect this recognition by establishing that each non-</w:t>
      </w:r>
    </w:p>
    <w:p>
      <w:pPr>
        <w:ind w:left="640" w:right="80"/>
        <w:spacing w:after="0" w:line="226" w:lineRule="auto"/>
        <w:rPr>
          <w:sz w:val="20"/>
          <w:szCs w:val="20"/>
          <w:color w:val="auto"/>
        </w:rPr>
      </w:pPr>
      <w:r>
        <w:rPr>
          <w:rFonts w:ascii="Arial" w:cs="Arial" w:eastAsia="Arial" w:hAnsi="Arial"/>
          <w:sz w:val="18"/>
          <w:szCs w:val="18"/>
          <w:color w:val="202124"/>
        </w:rPr>
        <w:t>management director should not serve on more than four public company boards, inclusive of AutoZone’s Board, and that any management directors should not be members of more than one board of a public company other than AutoZone. In</w:t>
      </w:r>
    </w:p>
    <w:p>
      <w:pPr>
        <w:ind w:left="640"/>
        <w:spacing w:after="0" w:line="236" w:lineRule="auto"/>
        <w:rPr>
          <w:sz w:val="20"/>
          <w:szCs w:val="20"/>
          <w:color w:val="auto"/>
        </w:rPr>
      </w:pPr>
      <w:r>
        <w:rPr>
          <w:rFonts w:ascii="Arial" w:cs="Arial" w:eastAsia="Arial" w:hAnsi="Arial"/>
          <w:sz w:val="18"/>
          <w:szCs w:val="18"/>
          <w:color w:val="202124"/>
        </w:rPr>
        <w:t>addition to this baseline policy, the Board regularly considers each director’s contributions and commitments as part of</w:t>
      </w:r>
    </w:p>
    <w:p>
      <w:pPr>
        <w:spacing w:after="0" w:line="1" w:lineRule="exact"/>
        <w:rPr>
          <w:sz w:val="20"/>
          <w:szCs w:val="20"/>
          <w:color w:val="auto"/>
        </w:rPr>
      </w:pPr>
    </w:p>
    <w:p>
      <w:pPr>
        <w:ind w:left="640" w:right="880"/>
        <w:spacing w:after="0" w:line="226" w:lineRule="auto"/>
        <w:rPr>
          <w:sz w:val="20"/>
          <w:szCs w:val="20"/>
          <w:color w:val="auto"/>
        </w:rPr>
      </w:pPr>
      <w:r>
        <w:rPr>
          <w:rFonts w:ascii="Arial" w:cs="Arial" w:eastAsia="Arial" w:hAnsi="Arial"/>
          <w:sz w:val="18"/>
          <w:szCs w:val="18"/>
          <w:color w:val="202124"/>
        </w:rPr>
        <w:t>assessing his/her ability to contribute to the Board at a suitably high level. Any significant change in a Director’s professional responsibilities requires them to submit their resignation to the Board. This resignation is evaluated</w:t>
      </w:r>
    </w:p>
    <w:p>
      <w:pPr>
        <w:spacing w:after="0" w:line="2" w:lineRule="exact"/>
        <w:rPr>
          <w:sz w:val="20"/>
          <w:szCs w:val="20"/>
          <w:color w:val="auto"/>
        </w:rPr>
      </w:pPr>
    </w:p>
    <w:p>
      <w:pPr>
        <w:ind w:left="640" w:right="580"/>
        <w:spacing w:after="0" w:line="250" w:lineRule="auto"/>
        <w:rPr>
          <w:sz w:val="20"/>
          <w:szCs w:val="20"/>
          <w:color w:val="auto"/>
        </w:rPr>
      </w:pPr>
      <w:r>
        <w:rPr>
          <w:rFonts w:ascii="Arial" w:cs="Arial" w:eastAsia="Arial" w:hAnsi="Arial"/>
          <w:sz w:val="18"/>
          <w:szCs w:val="18"/>
          <w:color w:val="202124"/>
        </w:rPr>
        <w:t>thoroughly as part of the decision process to assess whether the Director’s change is expected to negatively impact his/her ability to fulfill directorship obligations.</w:t>
      </w:r>
    </w:p>
    <w:p>
      <w:pPr>
        <w:spacing w:after="0" w:line="50" w:lineRule="exact"/>
        <w:rPr>
          <w:sz w:val="20"/>
          <w:szCs w:val="20"/>
          <w:color w:val="auto"/>
        </w:rPr>
      </w:pPr>
    </w:p>
    <w:p>
      <w:pPr>
        <w:ind w:left="640" w:right="540"/>
        <w:spacing w:after="0" w:line="259" w:lineRule="auto"/>
        <w:rPr>
          <w:sz w:val="20"/>
          <w:szCs w:val="20"/>
          <w:color w:val="auto"/>
        </w:rPr>
      </w:pPr>
      <w:r>
        <w:rPr>
          <w:rFonts w:ascii="Arial" w:cs="Arial" w:eastAsia="Arial" w:hAnsi="Arial"/>
          <w:sz w:val="17"/>
          <w:szCs w:val="17"/>
          <w:color w:val="202124"/>
        </w:rPr>
        <w:t>In August 2026, QVC Group, Inc. (QVC) publicly announced Mr. George’s return as Chair and to fill an Interim Chief Executive Officer (CEO) position while its leadership conducts an ongoing search for a permanent CEO. Mr. George</w:t>
      </w:r>
    </w:p>
    <w:p>
      <w:pPr>
        <w:spacing w:after="0" w:line="1" w:lineRule="exact"/>
        <w:rPr>
          <w:sz w:val="20"/>
          <w:szCs w:val="20"/>
          <w:color w:val="auto"/>
        </w:rPr>
      </w:pPr>
    </w:p>
    <w:p>
      <w:pPr>
        <w:ind w:left="640" w:right="680"/>
        <w:spacing w:after="0"/>
        <w:rPr>
          <w:sz w:val="20"/>
          <w:szCs w:val="20"/>
          <w:color w:val="auto"/>
        </w:rPr>
      </w:pPr>
      <w:r>
        <w:rPr>
          <w:rFonts w:ascii="Arial" w:cs="Arial" w:eastAsia="Arial" w:hAnsi="Arial"/>
          <w:sz w:val="17"/>
          <w:szCs w:val="17"/>
          <w:color w:val="202124"/>
        </w:rPr>
        <w:t>previously served as President and CEO of QVC for 16 years. In view of this change in Mr. George’s professional obligations, our Board thoroughly considered Mr. George’s strong contributions to the Board during his service, his</w:t>
      </w:r>
    </w:p>
    <w:p>
      <w:pPr>
        <w:ind w:left="640"/>
        <w:spacing w:after="0" w:line="235" w:lineRule="auto"/>
        <w:rPr>
          <w:sz w:val="20"/>
          <w:szCs w:val="20"/>
          <w:color w:val="auto"/>
        </w:rPr>
      </w:pPr>
      <w:r>
        <w:rPr>
          <w:rFonts w:ascii="Arial" w:cs="Arial" w:eastAsia="Arial" w:hAnsi="Arial"/>
          <w:sz w:val="18"/>
          <w:szCs w:val="18"/>
          <w:color w:val="202124"/>
        </w:rPr>
        <w:t>alignment with AutoZone’s stated core skills and distinct strengths, as indicated above in our Director Skills matrix – in</w:t>
      </w:r>
    </w:p>
    <w:p>
      <w:pPr>
        <w:ind w:left="640" w:right="80"/>
        <w:spacing w:after="0"/>
        <w:rPr>
          <w:sz w:val="20"/>
          <w:szCs w:val="20"/>
          <w:color w:val="auto"/>
        </w:rPr>
      </w:pPr>
      <w:r>
        <w:rPr>
          <w:rFonts w:ascii="Arial" w:cs="Arial" w:eastAsia="Arial" w:hAnsi="Arial"/>
          <w:sz w:val="17"/>
          <w:szCs w:val="17"/>
          <w:color w:val="202124"/>
        </w:rPr>
        <w:t>particular, his deep knowledge of the retail industry and experience in supply chains and e-commerce, his public company CEO experience and board experience. Notably, the Board also considered that the CEO role at QVC is expected to be</w:t>
      </w:r>
    </w:p>
    <w:p>
      <w:pPr>
        <w:ind w:left="640"/>
        <w:spacing w:after="0" w:line="235" w:lineRule="auto"/>
        <w:rPr>
          <w:sz w:val="20"/>
          <w:szCs w:val="20"/>
          <w:color w:val="auto"/>
        </w:rPr>
      </w:pPr>
      <w:r>
        <w:rPr>
          <w:rFonts w:ascii="Arial" w:cs="Arial" w:eastAsia="Arial" w:hAnsi="Arial"/>
          <w:sz w:val="18"/>
          <w:szCs w:val="18"/>
          <w:color w:val="202124"/>
        </w:rPr>
        <w:t>temporary while its CEO search is completed. After reviewing these factors, and considering the value that Mr. George</w:t>
      </w:r>
    </w:p>
    <w:p>
      <w:pPr>
        <w:ind w:left="640" w:right="240"/>
        <w:spacing w:after="0" w:line="226" w:lineRule="auto"/>
        <w:rPr>
          <w:sz w:val="20"/>
          <w:szCs w:val="20"/>
          <w:color w:val="auto"/>
        </w:rPr>
      </w:pPr>
      <w:r>
        <w:rPr>
          <w:rFonts w:ascii="Arial" w:cs="Arial" w:eastAsia="Arial" w:hAnsi="Arial"/>
          <w:sz w:val="18"/>
          <w:szCs w:val="18"/>
          <w:color w:val="202124"/>
        </w:rPr>
        <w:t>brings to the Board, the Board determined that Mr. George’s return to QVC would not be expected to impair his ability to continue to contribute to the AutoZone Board as he has previously, and therefore determined to reject his required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resignation and nominated him again for election at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16   </w:t>
      </w:r>
      <w:r>
        <w:rPr>
          <w:sz w:val="1"/>
          <w:szCs w:val="1"/>
          <w:color w:val="auto"/>
        </w:rPr>
        <w:drawing>
          <wp:inline distT="0" distB="0" distL="0" distR="0">
            <wp:extent cx="11658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400"/>
          </w:cols>
          <w:pgMar w:left="440" w:top="106" w:right="1059" w:bottom="1440" w:gutter="0" w:footer="0" w:header="0"/>
        </w:sectPr>
      </w:pPr>
    </w:p>
    <w:bookmarkStart w:id="19" w:name="page20"/>
    <w:bookmarkEnd w:id="1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BOARD EVALUATIONS</w:t>
      </w:r>
    </w:p>
    <w:p>
      <w:pPr>
        <w:spacing w:after="0" w:line="117" w:lineRule="exact"/>
        <w:rPr>
          <w:sz w:val="20"/>
          <w:szCs w:val="20"/>
          <w:color w:val="auto"/>
        </w:rPr>
      </w:pPr>
    </w:p>
    <w:p>
      <w:pPr>
        <w:ind w:left="640"/>
        <w:spacing w:after="0" w:line="238" w:lineRule="auto"/>
        <w:rPr>
          <w:sz w:val="20"/>
          <w:szCs w:val="20"/>
          <w:color w:val="auto"/>
        </w:rPr>
      </w:pPr>
      <w:r>
        <w:rPr>
          <w:rFonts w:ascii="Arial" w:cs="Arial" w:eastAsia="Arial" w:hAnsi="Arial"/>
          <w:sz w:val="18"/>
          <w:szCs w:val="18"/>
          <w:color w:val="202124"/>
        </w:rPr>
        <w:t>The Nominating and Corporate Governance Committee annually reviews and approves the process by which the Board, its Committees and the individual directors conduct an evaluation. These evaluations help inform Board succession planning as well as contribute to different enhancements that may allow the Board to carry out its roles and responsibilities more effectively. The annual Board and Committee evaluation process, including in FY26, is typically administered by the Corporate Secretary’s office. Additionally, the Board has routinely engaged a third-party consultant to administer an enhanced process every few years to obtain more detailed and specific feedback on individual member and overall board effectiveness. For example, since 2021, the Board evaluation was administered by an independent, third-party twice and consisted of both survey data and one-on-one interviews. These findings were then aggregated, analyzed and reported to the full Board collectively and specific feedback was provided to each individual director. These qualitative and quantitative assessments provide detailed feedback to each director on their strengths and opportunities for enhanced contributions. They also facilitate more open dialog regarding directors’ intentions on service and serve as a key tool to Board succession planning.</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DIRECTOR NOMINATIONS</w:t>
      </w:r>
    </w:p>
    <w:p>
      <w:pPr>
        <w:spacing w:after="0" w:line="131" w:lineRule="exact"/>
        <w:rPr>
          <w:sz w:val="20"/>
          <w:szCs w:val="20"/>
          <w:color w:val="auto"/>
        </w:rPr>
      </w:pPr>
    </w:p>
    <w:p>
      <w:pPr>
        <w:ind w:left="640" w:right="40"/>
        <w:spacing w:after="0" w:line="239" w:lineRule="auto"/>
        <w:rPr>
          <w:sz w:val="20"/>
          <w:szCs w:val="20"/>
          <w:color w:val="auto"/>
        </w:rPr>
      </w:pPr>
      <w:r>
        <w:rPr>
          <w:rFonts w:ascii="Arial" w:cs="Arial" w:eastAsia="Arial" w:hAnsi="Arial"/>
          <w:sz w:val="18"/>
          <w:szCs w:val="18"/>
          <w:color w:val="202124"/>
        </w:rPr>
        <w:t>Prior to each annual meeting of stockholders at which directors are to be elected, the Nominating and Corporate Governance Committee considers incumbent directors and other qualified individuals, if appropriate, as potential director nominees. In evaluating a potential nominee, the Nominating and Corporate Governance Committee considers the personal characteristics described above, reviews the composition of the full Board and reflects upon learnings from the Board evaluations to determine the areas of expertise and core competencies needed to enhance the effectiveness of the Board. The Nominating and Corporate Governance Committee and Board also consider the specific experiences and skills that an individual nominee possesses and how such experiences might be of value to the Board and the management team. Finally, the Nominating and Corporate Governance Committee may also consider other factors such as the size of the Board, whether a candidate is independent, the listing standards requirements of the NYSE and how many other public company directorships a candidate holds.</w:t>
      </w:r>
    </w:p>
    <w:p>
      <w:pPr>
        <w:spacing w:after="0" w:line="85" w:lineRule="exact"/>
        <w:rPr>
          <w:sz w:val="20"/>
          <w:szCs w:val="20"/>
          <w:color w:val="auto"/>
        </w:rPr>
      </w:pPr>
    </w:p>
    <w:p>
      <w:pPr>
        <w:ind w:left="640" w:right="60"/>
        <w:spacing w:after="0" w:line="242" w:lineRule="auto"/>
        <w:rPr>
          <w:sz w:val="20"/>
          <w:szCs w:val="20"/>
          <w:color w:val="auto"/>
        </w:rPr>
      </w:pPr>
      <w:r>
        <w:rPr>
          <w:rFonts w:ascii="Arial" w:cs="Arial" w:eastAsia="Arial" w:hAnsi="Arial"/>
          <w:sz w:val="18"/>
          <w:szCs w:val="18"/>
          <w:color w:val="202124"/>
        </w:rPr>
        <w:t>The Nominating and Corporate Governance Committee uses a variety of methods for identifying potential nominees for director. Candidates may come to the attention of the Nominating and Corporate Governance Committee through current Board members, stockholders or other persons. The Nominating and Corporate Governance Committee may retain a search firm from time to time to identify potential nominees. Nominees recommended by stockholders submitted in writing to AutoZone’s Corporate Secretary in accordance with the procedures outlined below will receive the same consideration as the Nominating and Corporate Governance Committee’s other potential nominees.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Director Nominations by Stockholders</w:t>
      </w:r>
    </w:p>
    <w:p>
      <w:pPr>
        <w:spacing w:after="0" w:line="131" w:lineRule="exact"/>
        <w:rPr>
          <w:sz w:val="20"/>
          <w:szCs w:val="20"/>
          <w:color w:val="auto"/>
        </w:rPr>
      </w:pPr>
    </w:p>
    <w:p>
      <w:pPr>
        <w:ind w:left="640" w:right="60"/>
        <w:spacing w:after="0" w:line="242" w:lineRule="auto"/>
        <w:rPr>
          <w:sz w:val="20"/>
          <w:szCs w:val="20"/>
          <w:color w:val="auto"/>
        </w:rPr>
      </w:pPr>
      <w:r>
        <w:rPr>
          <w:rFonts w:ascii="Arial" w:cs="Arial" w:eastAsia="Arial" w:hAnsi="Arial"/>
          <w:sz w:val="18"/>
          <w:szCs w:val="18"/>
          <w:color w:val="202124"/>
        </w:rPr>
        <w:t>The Nominating and Corporate Governance Committee’s policy is to consider director candidate recommendations from stockholders if they are submitted in writing to AutoZone’s Corporate Secretary in accordance with the procedures set forth in Article III, Section 1 of AutoZone’s Ninth Amended and Restated By-laws (“By-laws”), including biographical and business experience, information regarding the nominee and other information required by such provision in the By-laws. Copies of the By-Laws will be provided upon written request to AutoZone’s Corporate Secretary and are also available on the Investor Relations page of AutoZone’s website at www.autozone.com.</w:t>
      </w:r>
    </w:p>
    <w:p>
      <w:pPr>
        <w:spacing w:after="0" w:line="84" w:lineRule="exact"/>
        <w:rPr>
          <w:sz w:val="20"/>
          <w:szCs w:val="20"/>
          <w:color w:val="auto"/>
        </w:rPr>
      </w:pPr>
    </w:p>
    <w:p>
      <w:pPr>
        <w:ind w:left="640" w:right="200"/>
        <w:spacing w:after="0" w:line="247" w:lineRule="auto"/>
        <w:rPr>
          <w:sz w:val="20"/>
          <w:szCs w:val="20"/>
          <w:color w:val="auto"/>
        </w:rPr>
      </w:pPr>
      <w:r>
        <w:rPr>
          <w:rFonts w:ascii="Arial" w:cs="Arial" w:eastAsia="Arial" w:hAnsi="Arial"/>
          <w:sz w:val="18"/>
          <w:szCs w:val="18"/>
          <w:color w:val="202124"/>
        </w:rPr>
        <w:t>In addition to satisfying the foregoing requirements under AutoZone’s By-laws, to comply with the universal proxy rules, stockholders who intend to solicit proxies in support of director nominees other than AutoZone’s nominees must provide notice that sets forth the information required by Rule 14a-19 under the Securities Exchange Act of 1934, as amended (the “Exchange Act”) no later than October 17,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17</w:t>
            </w:r>
          </w:p>
        </w:tc>
      </w:tr>
    </w:tbl>
    <w:p>
      <w:pPr>
        <w:sectPr>
          <w:pgSz w:w="11900" w:h="16838" w:orient="portrait"/>
          <w:cols w:equalWidth="0" w:num="1">
            <w:col w:w="10360"/>
          </w:cols>
          <w:pgMar w:left="440" w:top="106" w:right="1099" w:bottom="1440" w:gutter="0" w:footer="0" w:header="0"/>
        </w:sectPr>
      </w:pPr>
    </w:p>
    <w:bookmarkStart w:id="20" w:name="page21"/>
    <w:bookmarkEnd w:id="2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Director Compensation</w:t>
      </w:r>
    </w:p>
    <w:p>
      <w:pPr>
        <w:spacing w:after="0" w:line="111" w:lineRule="exact"/>
        <w:rPr>
          <w:sz w:val="20"/>
          <w:szCs w:val="20"/>
          <w:color w:val="auto"/>
        </w:rPr>
      </w:pPr>
    </w:p>
    <w:p>
      <w:pPr>
        <w:ind w:left="640" w:right="600"/>
        <w:spacing w:after="0" w:line="271" w:lineRule="auto"/>
        <w:rPr>
          <w:sz w:val="20"/>
          <w:szCs w:val="20"/>
          <w:color w:val="auto"/>
        </w:rPr>
      </w:pPr>
      <w:r>
        <w:rPr>
          <w:rFonts w:ascii="Arial" w:cs="Arial" w:eastAsia="Arial" w:hAnsi="Arial"/>
          <w:sz w:val="18"/>
          <w:szCs w:val="18"/>
          <w:color w:val="202124"/>
        </w:rPr>
        <w:t>AutoZone’s current director compensation program became effective January 1, 2026 (the “Director Compensation Program”).</w:t>
      </w:r>
    </w:p>
    <w:p>
      <w:pPr>
        <w:spacing w:after="0" w:line="46" w:lineRule="exact"/>
        <w:rPr>
          <w:sz w:val="20"/>
          <w:szCs w:val="20"/>
          <w:color w:val="auto"/>
        </w:rPr>
      </w:pPr>
    </w:p>
    <w:p>
      <w:pPr>
        <w:ind w:left="640" w:right="20"/>
        <w:spacing w:after="0" w:line="247" w:lineRule="auto"/>
        <w:rPr>
          <w:sz w:val="20"/>
          <w:szCs w:val="20"/>
          <w:color w:val="auto"/>
        </w:rPr>
      </w:pPr>
      <w:r>
        <w:rPr>
          <w:rFonts w:ascii="Arial" w:cs="Arial" w:eastAsia="Arial" w:hAnsi="Arial"/>
          <w:sz w:val="18"/>
          <w:szCs w:val="18"/>
          <w:b w:val="1"/>
          <w:bCs w:val="1"/>
          <w:color w:val="F37F00"/>
        </w:rPr>
        <w:t xml:space="preserve">ANNUAL RETAINER FEES. </w:t>
      </w:r>
      <w:r>
        <w:rPr>
          <w:rFonts w:ascii="Arial" w:cs="Arial" w:eastAsia="Arial" w:hAnsi="Arial"/>
          <w:sz w:val="18"/>
          <w:szCs w:val="18"/>
          <w:color w:val="202124"/>
        </w:rPr>
        <w:t>Non-employee directors receive an annual retainer fee (the “Annual Retainer”). Furthermore,</w:t>
      </w:r>
      <w:r>
        <w:rPr>
          <w:rFonts w:ascii="Arial" w:cs="Arial" w:eastAsia="Arial" w:hAnsi="Arial"/>
          <w:sz w:val="18"/>
          <w:szCs w:val="18"/>
          <w:b w:val="1"/>
          <w:bCs w:val="1"/>
          <w:color w:val="F37F00"/>
        </w:rPr>
        <w:t xml:space="preserve"> </w:t>
      </w:r>
      <w:r>
        <w:rPr>
          <w:rFonts w:ascii="Arial" w:cs="Arial" w:eastAsia="Arial" w:hAnsi="Arial"/>
          <w:sz w:val="18"/>
          <w:szCs w:val="18"/>
          <w:color w:val="202124"/>
        </w:rPr>
        <w:t>each director is eligible to receive an additional fee (“Additional Fee”), the amount of which varies depending on his or her role. The Additional Fees and the Annual Retainer, enumerated below, together comprise the “Director Compensation”. There are no meeting fees.</w:t>
      </w:r>
    </w:p>
    <w:p>
      <w:pPr>
        <w:spacing w:after="0" w:line="107"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5480" w:type="dxa"/>
            <w:vAlign w:val="bottom"/>
            <w:shd w:val="clear" w:color="auto" w:fill="212322"/>
          </w:tcPr>
          <w:p>
            <w:pPr>
              <w:spacing w:after="0"/>
              <w:rPr>
                <w:sz w:val="20"/>
                <w:szCs w:val="20"/>
                <w:color w:val="auto"/>
              </w:rPr>
            </w:pPr>
            <w:r>
              <w:rPr>
                <w:rFonts w:ascii="Arial" w:cs="Arial" w:eastAsia="Arial" w:hAnsi="Arial"/>
                <w:sz w:val="18"/>
                <w:szCs w:val="18"/>
                <w:b w:val="1"/>
                <w:bCs w:val="1"/>
                <w:color w:val="FFFFFF"/>
              </w:rPr>
              <w:t>Director Compensation Components</w:t>
            </w:r>
          </w:p>
        </w:tc>
        <w:tc>
          <w:tcPr>
            <w:tcW w:w="1240" w:type="dxa"/>
            <w:vAlign w:val="bottom"/>
            <w:shd w:val="clear" w:color="auto" w:fill="212322"/>
          </w:tcPr>
          <w:p>
            <w:pPr>
              <w:ind w:left="1000"/>
              <w:spacing w:after="0"/>
              <w:rPr>
                <w:sz w:val="20"/>
                <w:szCs w:val="20"/>
                <w:color w:val="auto"/>
              </w:rPr>
            </w:pPr>
            <w:r>
              <w:rPr>
                <w:rFonts w:ascii="Arial" w:cs="Arial" w:eastAsia="Arial" w:hAnsi="Arial"/>
                <w:sz w:val="18"/>
                <w:szCs w:val="18"/>
                <w:b w:val="1"/>
                <w:bCs w:val="1"/>
                <w:color w:val="FFFFFF"/>
              </w:rPr>
              <w:t>​​​</w:t>
            </w:r>
          </w:p>
        </w:tc>
        <w:tc>
          <w:tcPr>
            <w:tcW w:w="820" w:type="dxa"/>
            <w:vAlign w:val="bottom"/>
            <w:shd w:val="clear" w:color="auto" w:fill="212322"/>
          </w:tcPr>
          <w:p>
            <w:pPr>
              <w:jc w:val="right"/>
              <w:ind w:right="29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17"/>
                <w:szCs w:val="17"/>
                <w:color w:val="auto"/>
              </w:rPr>
            </w:pPr>
          </w:p>
        </w:tc>
      </w:tr>
      <w:tr>
        <w:trPr>
          <w:trHeight w:val="243"/>
        </w:trPr>
        <w:tc>
          <w:tcPr>
            <w:tcW w:w="54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Annual Retainer</w:t>
            </w:r>
          </w:p>
        </w:tc>
        <w:tc>
          <w:tcPr>
            <w:tcW w:w="124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280,000</w:t>
            </w:r>
          </w:p>
        </w:tc>
        <w:tc>
          <w:tcPr>
            <w:tcW w:w="40" w:type="dxa"/>
            <w:vAlign w:val="bottom"/>
          </w:tcPr>
          <w:p>
            <w:pPr>
              <w:spacing w:after="0"/>
              <w:rPr>
                <w:sz w:val="21"/>
                <w:szCs w:val="21"/>
                <w:color w:val="auto"/>
              </w:rPr>
            </w:pPr>
          </w:p>
        </w:tc>
      </w:tr>
      <w:tr>
        <w:trPr>
          <w:trHeight w:val="237"/>
        </w:trPr>
        <w:tc>
          <w:tcPr>
            <w:tcW w:w="54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Additional Fees:</w:t>
            </w:r>
          </w:p>
        </w:tc>
        <w:tc>
          <w:tcPr>
            <w:tcW w:w="124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8"/>
                <w:szCs w:val="18"/>
                <w:color w:val="202124"/>
              </w:rPr>
              <w:t>​</w:t>
            </w:r>
          </w:p>
        </w:tc>
      </w:tr>
      <w:tr>
        <w:trPr>
          <w:trHeight w:val="237"/>
        </w:trPr>
        <w:tc>
          <w:tcPr>
            <w:tcW w:w="54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202124"/>
              </w:rPr>
              <w:t>Chairman</w:t>
            </w:r>
          </w:p>
        </w:tc>
        <w:tc>
          <w:tcPr>
            <w:tcW w:w="124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250,000</w:t>
            </w:r>
          </w:p>
        </w:tc>
        <w:tc>
          <w:tcPr>
            <w:tcW w:w="40" w:type="dxa"/>
            <w:vAlign w:val="bottom"/>
          </w:tcPr>
          <w:p>
            <w:pPr>
              <w:spacing w:after="0"/>
              <w:rPr>
                <w:sz w:val="20"/>
                <w:szCs w:val="20"/>
                <w:color w:val="auto"/>
              </w:rPr>
            </w:pPr>
          </w:p>
        </w:tc>
      </w:tr>
      <w:tr>
        <w:trPr>
          <w:trHeight w:val="237"/>
        </w:trPr>
        <w:tc>
          <w:tcPr>
            <w:tcW w:w="54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202124"/>
              </w:rPr>
              <w:t>Lead Director</w:t>
            </w:r>
          </w:p>
        </w:tc>
        <w:tc>
          <w:tcPr>
            <w:tcW w:w="124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35,000</w:t>
            </w:r>
          </w:p>
        </w:tc>
        <w:tc>
          <w:tcPr>
            <w:tcW w:w="40" w:type="dxa"/>
            <w:vAlign w:val="bottom"/>
          </w:tcPr>
          <w:p>
            <w:pPr>
              <w:spacing w:after="0"/>
              <w:rPr>
                <w:sz w:val="20"/>
                <w:szCs w:val="20"/>
                <w:color w:val="auto"/>
              </w:rPr>
            </w:pPr>
          </w:p>
        </w:tc>
      </w:tr>
      <w:tr>
        <w:trPr>
          <w:trHeight w:val="236"/>
        </w:trPr>
        <w:tc>
          <w:tcPr>
            <w:tcW w:w="54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202124"/>
              </w:rPr>
              <w:t>Audit Committee Chair</w:t>
            </w:r>
          </w:p>
        </w:tc>
        <w:tc>
          <w:tcPr>
            <w:tcW w:w="124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30,000</w:t>
            </w:r>
          </w:p>
        </w:tc>
        <w:tc>
          <w:tcPr>
            <w:tcW w:w="40" w:type="dxa"/>
            <w:vAlign w:val="bottom"/>
          </w:tcPr>
          <w:p>
            <w:pPr>
              <w:spacing w:after="0"/>
              <w:rPr>
                <w:sz w:val="20"/>
                <w:szCs w:val="20"/>
                <w:color w:val="auto"/>
              </w:rPr>
            </w:pPr>
          </w:p>
        </w:tc>
      </w:tr>
      <w:tr>
        <w:trPr>
          <w:trHeight w:val="237"/>
        </w:trPr>
        <w:tc>
          <w:tcPr>
            <w:tcW w:w="54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202124"/>
              </w:rPr>
              <w:t>Audit Committee Member</w:t>
            </w:r>
          </w:p>
        </w:tc>
        <w:tc>
          <w:tcPr>
            <w:tcW w:w="124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15,000</w:t>
            </w:r>
          </w:p>
        </w:tc>
        <w:tc>
          <w:tcPr>
            <w:tcW w:w="40" w:type="dxa"/>
            <w:vAlign w:val="bottom"/>
          </w:tcPr>
          <w:p>
            <w:pPr>
              <w:spacing w:after="0"/>
              <w:rPr>
                <w:sz w:val="20"/>
                <w:szCs w:val="20"/>
                <w:color w:val="auto"/>
              </w:rPr>
            </w:pPr>
          </w:p>
        </w:tc>
      </w:tr>
      <w:tr>
        <w:trPr>
          <w:trHeight w:val="237"/>
        </w:trPr>
        <w:tc>
          <w:tcPr>
            <w:tcW w:w="54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202124"/>
              </w:rPr>
              <w:t>Compensation Committee Chair</w:t>
            </w:r>
          </w:p>
        </w:tc>
        <w:tc>
          <w:tcPr>
            <w:tcW w:w="124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25,000</w:t>
            </w:r>
          </w:p>
        </w:tc>
        <w:tc>
          <w:tcPr>
            <w:tcW w:w="40" w:type="dxa"/>
            <w:vAlign w:val="bottom"/>
          </w:tcPr>
          <w:p>
            <w:pPr>
              <w:spacing w:after="0"/>
              <w:rPr>
                <w:sz w:val="20"/>
                <w:szCs w:val="20"/>
                <w:color w:val="auto"/>
              </w:rPr>
            </w:pPr>
          </w:p>
        </w:tc>
      </w:tr>
      <w:tr>
        <w:trPr>
          <w:trHeight w:val="257"/>
        </w:trPr>
        <w:tc>
          <w:tcPr>
            <w:tcW w:w="5480" w:type="dxa"/>
            <w:vAlign w:val="bottom"/>
            <w:tcBorders>
              <w:bottom w:val="single" w:sz="8" w:color="202124"/>
            </w:tcBorders>
          </w:tcPr>
          <w:p>
            <w:pPr>
              <w:ind w:left="100"/>
              <w:spacing w:after="0"/>
              <w:rPr>
                <w:sz w:val="20"/>
                <w:szCs w:val="20"/>
                <w:color w:val="auto"/>
              </w:rPr>
            </w:pPr>
            <w:r>
              <w:rPr>
                <w:rFonts w:ascii="Arial" w:cs="Arial" w:eastAsia="Arial" w:hAnsi="Arial"/>
                <w:sz w:val="18"/>
                <w:szCs w:val="18"/>
                <w:color w:val="202124"/>
              </w:rPr>
              <w:t>Nominating &amp; Corporate Governance Committee Chair</w:t>
            </w:r>
          </w:p>
        </w:tc>
        <w:tc>
          <w:tcPr>
            <w:tcW w:w="1240" w:type="dxa"/>
            <w:vAlign w:val="bottom"/>
            <w:tcBorders>
              <w:bottom w:val="single" w:sz="8" w:color="202124"/>
            </w:tcBorders>
          </w:tcPr>
          <w:p>
            <w:pPr>
              <w:spacing w:after="0"/>
              <w:rPr>
                <w:sz w:val="22"/>
                <w:szCs w:val="22"/>
                <w:color w:val="auto"/>
              </w:rPr>
            </w:pPr>
          </w:p>
        </w:tc>
        <w:tc>
          <w:tcPr>
            <w:tcW w:w="82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20,000</w:t>
            </w:r>
          </w:p>
        </w:tc>
        <w:tc>
          <w:tcPr>
            <w:tcW w:w="40" w:type="dxa"/>
            <w:vAlign w:val="bottom"/>
          </w:tcPr>
          <w:p>
            <w:pPr>
              <w:spacing w:after="0"/>
              <w:rPr>
                <w:sz w:val="22"/>
                <w:szCs w:val="22"/>
                <w:color w:val="auto"/>
              </w:rPr>
            </w:pPr>
          </w:p>
        </w:tc>
      </w:tr>
    </w:tbl>
    <w:p>
      <w:pPr>
        <w:spacing w:after="0" w:line="103" w:lineRule="exact"/>
        <w:rPr>
          <w:sz w:val="20"/>
          <w:szCs w:val="20"/>
          <w:color w:val="auto"/>
        </w:rPr>
      </w:pPr>
    </w:p>
    <w:p>
      <w:pPr>
        <w:ind w:left="640"/>
        <w:spacing w:after="0" w:line="242" w:lineRule="auto"/>
        <w:rPr>
          <w:sz w:val="20"/>
          <w:szCs w:val="20"/>
          <w:color w:val="auto"/>
        </w:rPr>
      </w:pPr>
      <w:r>
        <w:rPr>
          <w:rFonts w:ascii="Arial" w:cs="Arial" w:eastAsia="Arial" w:hAnsi="Arial"/>
          <w:sz w:val="18"/>
          <w:szCs w:val="18"/>
          <w:color w:val="202124"/>
        </w:rPr>
        <w:t>Under the 2020 Omnibus Incentive Award Plan (the “2020 Omnibus Incentive Plan”) and Director Compensation Program, non-employee directors receive Director Compensation in the form of immediately vested Restricted Stock Units (“RSUs”). A non-employee director may elect to receive a fixed portion of the Annual Retainer plus any Additional Fees in the form of cash, paid in quarterly installments (the “Cash Election”), with the remainder of the Annual Retainer paid in the form of RSUs. The Cash Election during calendar year 2026 was $100,000 but all directors elected to receive compensation fully in RSUs. RSUs are typically granted on January 1 of the applicable calendar years.</w:t>
      </w:r>
    </w:p>
    <w:p>
      <w:pPr>
        <w:spacing w:after="0" w:line="71" w:lineRule="exact"/>
        <w:rPr>
          <w:sz w:val="20"/>
          <w:szCs w:val="20"/>
          <w:color w:val="auto"/>
        </w:rPr>
      </w:pPr>
    </w:p>
    <w:p>
      <w:pPr>
        <w:jc w:val="both"/>
        <w:ind w:left="640" w:right="260"/>
        <w:spacing w:after="0" w:line="253" w:lineRule="auto"/>
        <w:rPr>
          <w:sz w:val="20"/>
          <w:szCs w:val="20"/>
          <w:color w:val="auto"/>
        </w:rPr>
      </w:pPr>
      <w:r>
        <w:rPr>
          <w:rFonts w:ascii="Arial" w:cs="Arial" w:eastAsia="Arial" w:hAnsi="Arial"/>
          <w:sz w:val="18"/>
          <w:szCs w:val="18"/>
          <w:color w:val="202124"/>
        </w:rPr>
        <w:t>If a non-employee director is elected to the Board or assumes a different position after January 1, he or she will receive the Annual Retainer and/or Additional Fees, prorated based on the number of days remaining in the calendar year, for RSUs, or the number of days remaining in the quarter, for cash, as applicable.</w:t>
      </w:r>
    </w:p>
    <w:p>
      <w:pPr>
        <w:spacing w:after="0" w:line="61" w:lineRule="exact"/>
        <w:rPr>
          <w:sz w:val="20"/>
          <w:szCs w:val="20"/>
          <w:color w:val="auto"/>
        </w:rPr>
      </w:pPr>
    </w:p>
    <w:p>
      <w:pPr>
        <w:ind w:left="640" w:right="60"/>
        <w:spacing w:after="0" w:line="242" w:lineRule="auto"/>
        <w:rPr>
          <w:sz w:val="20"/>
          <w:szCs w:val="20"/>
          <w:color w:val="auto"/>
        </w:rPr>
      </w:pPr>
      <w:r>
        <w:rPr>
          <w:rFonts w:ascii="Arial" w:cs="Arial" w:eastAsia="Arial" w:hAnsi="Arial"/>
          <w:sz w:val="18"/>
          <w:szCs w:val="18"/>
          <w:color w:val="202124"/>
        </w:rPr>
        <w:t>RSUs granted to non-employee directors are fully vested on the date of grant and become payable, or are settled, on the date on which the non-employee director ceases to be a director (the “Payment Date”), or at the director’s election, on the first or fifth anniversary of the grant date. Upon timely delivery of an election form, a non-employee director may elect to receive payment on the date on which he or she ceases to be a director. RSUs are payable in shares of AutoZone common stock no later than the fifteenth day of the third month following the end of the tax year in which such Payment Date occurs.</w:t>
      </w:r>
    </w:p>
    <w:p>
      <w:pPr>
        <w:spacing w:after="0" w:line="71" w:lineRule="exact"/>
        <w:rPr>
          <w:sz w:val="20"/>
          <w:szCs w:val="20"/>
          <w:color w:val="auto"/>
        </w:rPr>
      </w:pPr>
    </w:p>
    <w:p>
      <w:pPr>
        <w:jc w:val="both"/>
        <w:ind w:left="640" w:right="280"/>
        <w:spacing w:after="0" w:line="253" w:lineRule="auto"/>
        <w:rPr>
          <w:sz w:val="20"/>
          <w:szCs w:val="20"/>
          <w:color w:val="auto"/>
        </w:rPr>
      </w:pPr>
      <w:r>
        <w:rPr>
          <w:rFonts w:ascii="Arial" w:cs="Arial" w:eastAsia="Arial" w:hAnsi="Arial"/>
          <w:sz w:val="18"/>
          <w:szCs w:val="18"/>
          <w:color w:val="202124"/>
        </w:rPr>
        <w:t>In January 2026, Mr. Rhodes received an initial annual grant valued at $ 250,000 of immediately vested restricted stock units for his service as Chairman of the Board. In FY25, there was not a separate grant for the Board Chairman as Mr. Rhodes held the role of Executive Chairman until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18   </w:t>
      </w:r>
      <w:r>
        <w:rPr>
          <w:sz w:val="1"/>
          <w:szCs w:val="1"/>
          <w:color w:val="auto"/>
        </w:rPr>
        <w:drawing>
          <wp:inline distT="0" distB="0" distL="0" distR="0">
            <wp:extent cx="1165860"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21" w:name="page22"/>
    <w:bookmarkEnd w:id="2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Director Compensation Table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This table shows the director compensation paid to our non-employee directors during the 2026 fiscal year.</w:t>
      </w:r>
    </w:p>
    <w:p>
      <w:pPr>
        <w:spacing w:after="0" w:line="271"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6240" w:type="dxa"/>
            <w:vAlign w:val="bottom"/>
            <w:shd w:val="clear" w:color="auto" w:fill="212322"/>
          </w:tcPr>
          <w:p>
            <w:pPr>
              <w:spacing w:after="0"/>
              <w:rPr>
                <w:sz w:val="14"/>
                <w:szCs w:val="14"/>
                <w:color w:val="auto"/>
              </w:rPr>
            </w:pPr>
          </w:p>
        </w:tc>
        <w:tc>
          <w:tcPr>
            <w:tcW w:w="32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212322"/>
          </w:tcPr>
          <w:p>
            <w:pPr>
              <w:jc w:val="center"/>
              <w:ind w:right="74"/>
              <w:spacing w:after="0"/>
              <w:rPr>
                <w:sz w:val="20"/>
                <w:szCs w:val="20"/>
                <w:color w:val="auto"/>
              </w:rPr>
            </w:pPr>
            <w:r>
              <w:rPr>
                <w:rFonts w:ascii="Arial" w:cs="Arial" w:eastAsia="Arial" w:hAnsi="Arial"/>
                <w:sz w:val="14"/>
                <w:szCs w:val="14"/>
                <w:b w:val="1"/>
                <w:bCs w:val="1"/>
                <w:color w:val="FFFFFF"/>
              </w:rPr>
              <w:t>Fees</w:t>
            </w:r>
          </w:p>
        </w:tc>
        <w:tc>
          <w:tcPr>
            <w:tcW w:w="92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  Stock</w:t>
            </w:r>
          </w:p>
        </w:tc>
        <w:tc>
          <w:tcPr>
            <w:tcW w:w="900" w:type="dxa"/>
            <w:vAlign w:val="bottom"/>
            <w:shd w:val="clear" w:color="auto" w:fill="212322"/>
          </w:tcPr>
          <w:p>
            <w:pPr>
              <w:ind w:left="60"/>
              <w:spacing w:after="0"/>
              <w:rPr>
                <w:sz w:val="20"/>
                <w:szCs w:val="20"/>
                <w:color w:val="auto"/>
              </w:rPr>
            </w:pPr>
            <w:r>
              <w:rPr>
                <w:rFonts w:ascii="Arial" w:cs="Arial" w:eastAsia="Arial" w:hAnsi="Arial"/>
                <w:sz w:val="14"/>
                <w:szCs w:val="14"/>
                <w:b w:val="1"/>
                <w:bCs w:val="1"/>
                <w:color w:val="FFFFFF"/>
              </w:rPr>
              <w:t>​​​</w:t>
            </w:r>
          </w:p>
        </w:tc>
      </w:tr>
      <w:tr>
        <w:trPr>
          <w:trHeight w:val="162"/>
        </w:trPr>
        <w:tc>
          <w:tcPr>
            <w:tcW w:w="6240" w:type="dxa"/>
            <w:vAlign w:val="bottom"/>
            <w:shd w:val="clear" w:color="auto" w:fill="212322"/>
          </w:tcPr>
          <w:p>
            <w:pPr>
              <w:spacing w:after="0"/>
              <w:rPr>
                <w:sz w:val="14"/>
                <w:szCs w:val="14"/>
                <w:color w:val="auto"/>
              </w:rPr>
            </w:pPr>
          </w:p>
        </w:tc>
        <w:tc>
          <w:tcPr>
            <w:tcW w:w="1040" w:type="dxa"/>
            <w:vAlign w:val="bottom"/>
            <w:gridSpan w:val="2"/>
            <w:shd w:val="clear" w:color="auto" w:fill="212322"/>
          </w:tcPr>
          <w:p>
            <w:pPr>
              <w:jc w:val="center"/>
              <w:ind w:left="88"/>
              <w:spacing w:after="0"/>
              <w:rPr>
                <w:sz w:val="20"/>
                <w:szCs w:val="20"/>
                <w:color w:val="auto"/>
              </w:rPr>
            </w:pPr>
            <w:r>
              <w:rPr>
                <w:rFonts w:ascii="Arial" w:cs="Arial" w:eastAsia="Arial" w:hAnsi="Arial"/>
                <w:sz w:val="14"/>
                <w:szCs w:val="14"/>
                <w:b w:val="1"/>
                <w:bCs w:val="1"/>
                <w:color w:val="FFFFFF"/>
              </w:rPr>
              <w:t>Paid in Cash</w:t>
            </w:r>
          </w:p>
        </w:tc>
        <w:tc>
          <w:tcPr>
            <w:tcW w:w="920" w:type="dxa"/>
            <w:vAlign w:val="bottom"/>
            <w:shd w:val="clear" w:color="auto" w:fill="212322"/>
          </w:tcPr>
          <w:p>
            <w:pPr>
              <w:jc w:val="center"/>
              <w:ind w:left="75"/>
              <w:spacing w:after="0"/>
              <w:rPr>
                <w:sz w:val="20"/>
                <w:szCs w:val="20"/>
                <w:color w:val="auto"/>
              </w:rPr>
            </w:pPr>
            <w:r>
              <w:rPr>
                <w:rFonts w:ascii="Arial" w:cs="Arial" w:eastAsia="Arial" w:hAnsi="Arial"/>
                <w:sz w:val="14"/>
                <w:szCs w:val="14"/>
                <w:b w:val="1"/>
                <w:bCs w:val="1"/>
                <w:color w:val="FFFFFF"/>
              </w:rPr>
              <w:t>Awards</w:t>
            </w:r>
          </w:p>
        </w:tc>
        <w:tc>
          <w:tcPr>
            <w:tcW w:w="900" w:type="dxa"/>
            <w:vAlign w:val="bottom"/>
            <w:shd w:val="clear" w:color="auto" w:fill="212322"/>
          </w:tcPr>
          <w:p>
            <w:pPr>
              <w:spacing w:after="0"/>
              <w:rPr>
                <w:sz w:val="14"/>
                <w:szCs w:val="14"/>
                <w:color w:val="auto"/>
              </w:rPr>
            </w:pPr>
          </w:p>
        </w:tc>
      </w:tr>
      <w:tr>
        <w:trPr>
          <w:trHeight w:val="162"/>
        </w:trPr>
        <w:tc>
          <w:tcPr>
            <w:tcW w:w="6240" w:type="dxa"/>
            <w:vAlign w:val="bottom"/>
            <w:shd w:val="clear" w:color="auto" w:fill="212322"/>
          </w:tcPr>
          <w:p>
            <w:pPr>
              <w:spacing w:after="0"/>
              <w:rPr>
                <w:sz w:val="14"/>
                <w:szCs w:val="14"/>
                <w:color w:val="auto"/>
              </w:rPr>
            </w:pPr>
          </w:p>
        </w:tc>
        <w:tc>
          <w:tcPr>
            <w:tcW w:w="320" w:type="dxa"/>
            <w:vAlign w:val="bottom"/>
            <w:shd w:val="clear" w:color="auto" w:fill="212322"/>
          </w:tcPr>
          <w:p>
            <w:pPr>
              <w:spacing w:after="0"/>
              <w:rPr>
                <w:sz w:val="14"/>
                <w:szCs w:val="14"/>
                <w:color w:val="auto"/>
              </w:rPr>
            </w:pPr>
          </w:p>
        </w:tc>
        <w:tc>
          <w:tcPr>
            <w:tcW w:w="720" w:type="dxa"/>
            <w:vAlign w:val="bottom"/>
            <w:shd w:val="clear" w:color="auto" w:fill="212322"/>
          </w:tcPr>
          <w:p>
            <w:pPr>
              <w:jc w:val="center"/>
              <w:ind w:right="74"/>
              <w:spacing w:after="0"/>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212322"/>
          </w:tcPr>
          <w:p>
            <w:pPr>
              <w:jc w:val="right"/>
              <w:ind w:right="215"/>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212322"/>
          </w:tcPr>
          <w:p>
            <w:pPr>
              <w:jc w:val="center"/>
              <w:ind w:left="54"/>
              <w:spacing w:after="0"/>
              <w:rPr>
                <w:sz w:val="20"/>
                <w:szCs w:val="20"/>
                <w:color w:val="auto"/>
              </w:rPr>
            </w:pPr>
            <w:r>
              <w:rPr>
                <w:rFonts w:ascii="Arial" w:cs="Arial" w:eastAsia="Arial" w:hAnsi="Arial"/>
                <w:sz w:val="14"/>
                <w:szCs w:val="14"/>
                <w:b w:val="1"/>
                <w:bCs w:val="1"/>
                <w:color w:val="FFFFFF"/>
                <w:w w:val="95"/>
              </w:rPr>
              <w:t>Total</w:t>
            </w:r>
          </w:p>
        </w:tc>
      </w:tr>
      <w:tr>
        <w:trPr>
          <w:trHeight w:val="162"/>
        </w:trPr>
        <w:tc>
          <w:tcPr>
            <w:tcW w:w="624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Name (1)</w:t>
            </w:r>
          </w:p>
        </w:tc>
        <w:tc>
          <w:tcPr>
            <w:tcW w:w="320" w:type="dxa"/>
            <w:vAlign w:val="bottom"/>
            <w:shd w:val="clear" w:color="auto" w:fill="212322"/>
          </w:tcPr>
          <w:p>
            <w:pPr>
              <w:spacing w:after="0"/>
              <w:rPr>
                <w:sz w:val="14"/>
                <w:szCs w:val="14"/>
                <w:color w:val="auto"/>
              </w:rPr>
            </w:pPr>
          </w:p>
        </w:tc>
        <w:tc>
          <w:tcPr>
            <w:tcW w:w="720" w:type="dxa"/>
            <w:vAlign w:val="bottom"/>
            <w:shd w:val="clear" w:color="auto" w:fill="212322"/>
          </w:tcPr>
          <w:p>
            <w:pPr>
              <w:jc w:val="center"/>
              <w:ind w:right="74"/>
              <w:spacing w:after="0"/>
              <w:rPr>
                <w:sz w:val="20"/>
                <w:szCs w:val="20"/>
                <w:color w:val="auto"/>
              </w:rPr>
            </w:pPr>
            <w:r>
              <w:rPr>
                <w:rFonts w:ascii="Arial" w:cs="Arial" w:eastAsia="Arial" w:hAnsi="Arial"/>
                <w:sz w:val="14"/>
                <w:szCs w:val="14"/>
                <w:b w:val="1"/>
                <w:bCs w:val="1"/>
                <w:color w:val="FFFFFF"/>
                <w:w w:val="93"/>
              </w:rPr>
              <w:t>(2)</w:t>
            </w:r>
          </w:p>
        </w:tc>
        <w:tc>
          <w:tcPr>
            <w:tcW w:w="920" w:type="dxa"/>
            <w:vAlign w:val="bottom"/>
            <w:shd w:val="clear" w:color="auto" w:fill="212322"/>
          </w:tcPr>
          <w:p>
            <w:pPr>
              <w:jc w:val="right"/>
              <w:ind w:right="115"/>
              <w:spacing w:after="0"/>
              <w:rPr>
                <w:sz w:val="20"/>
                <w:szCs w:val="20"/>
                <w:color w:val="auto"/>
              </w:rPr>
            </w:pPr>
            <w:r>
              <w:rPr>
                <w:rFonts w:ascii="Arial" w:cs="Arial" w:eastAsia="Arial" w:hAnsi="Arial"/>
                <w:sz w:val="14"/>
                <w:szCs w:val="14"/>
                <w:b w:val="1"/>
                <w:bCs w:val="1"/>
                <w:color w:val="FFFFFF"/>
              </w:rPr>
              <w:t>(3)(4)</w:t>
            </w:r>
          </w:p>
        </w:tc>
        <w:tc>
          <w:tcPr>
            <w:tcW w:w="900" w:type="dxa"/>
            <w:vAlign w:val="bottom"/>
            <w:shd w:val="clear" w:color="auto" w:fill="212322"/>
          </w:tcPr>
          <w:p>
            <w:pPr>
              <w:jc w:val="center"/>
              <w:ind w:left="74"/>
              <w:spacing w:after="0"/>
              <w:rPr>
                <w:sz w:val="20"/>
                <w:szCs w:val="20"/>
                <w:color w:val="auto"/>
              </w:rPr>
            </w:pPr>
            <w:r>
              <w:rPr>
                <w:rFonts w:ascii="Arial" w:cs="Arial" w:eastAsia="Arial" w:hAnsi="Arial"/>
                <w:sz w:val="14"/>
                <w:szCs w:val="14"/>
                <w:b w:val="1"/>
                <w:bCs w:val="1"/>
                <w:color w:val="FFFFFF"/>
              </w:rPr>
              <w:t>($)</w:t>
            </w:r>
          </w:p>
        </w:tc>
      </w:tr>
      <w:tr>
        <w:trPr>
          <w:trHeight w:val="405"/>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Michael A. George</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295,000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295,000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Linda A. Goodspeed</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310,000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310,000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Earl G. Graves, Jr.</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300,000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300,000</w:t>
            </w:r>
          </w:p>
        </w:tc>
      </w:tr>
      <w:tr>
        <w:trPr>
          <w:trHeight w:val="399"/>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Brian P. Hannasch</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315,000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315,000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Gale V. King</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280,000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280,000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Claire R. McDonough</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295,000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295,000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George R. Mrkonic, Jr.</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320,000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320,000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William C. Rhodes, III</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530,000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530,000</w:t>
            </w:r>
          </w:p>
        </w:tc>
      </w:tr>
      <w:tr>
        <w:trPr>
          <w:trHeight w:val="398"/>
        </w:trPr>
        <w:tc>
          <w:tcPr>
            <w:tcW w:w="6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Jill A. Soltau</w:t>
            </w:r>
          </w:p>
        </w:tc>
        <w:tc>
          <w:tcPr>
            <w:tcW w:w="72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center"/>
              <w:ind w:left="55"/>
              <w:spacing w:after="0"/>
              <w:rPr>
                <w:sz w:val="20"/>
                <w:szCs w:val="20"/>
                <w:color w:val="auto"/>
              </w:rPr>
            </w:pPr>
            <w:r>
              <w:rPr>
                <w:rFonts w:ascii="Arial" w:cs="Arial" w:eastAsia="Arial" w:hAnsi="Arial"/>
                <w:sz w:val="18"/>
                <w:szCs w:val="18"/>
                <w:color w:val="202124"/>
              </w:rPr>
              <w:t>280,000</w:t>
            </w:r>
          </w:p>
        </w:tc>
        <w:tc>
          <w:tcPr>
            <w:tcW w:w="900" w:type="dxa"/>
            <w:vAlign w:val="bottom"/>
            <w:tcBorders>
              <w:bottom w:val="single" w:sz="8" w:color="808080"/>
            </w:tcBorders>
          </w:tcPr>
          <w:p>
            <w:pPr>
              <w:jc w:val="center"/>
              <w:ind w:left="34"/>
              <w:spacing w:after="0"/>
              <w:rPr>
                <w:sz w:val="20"/>
                <w:szCs w:val="20"/>
                <w:color w:val="auto"/>
              </w:rPr>
            </w:pPr>
            <w:r>
              <w:rPr>
                <w:rFonts w:ascii="Arial" w:cs="Arial" w:eastAsia="Arial" w:hAnsi="Arial"/>
                <w:sz w:val="18"/>
                <w:szCs w:val="18"/>
                <w:color w:val="202124"/>
              </w:rPr>
              <w:t>280,000</w:t>
            </w:r>
          </w:p>
        </w:tc>
      </w:tr>
      <w:tr>
        <w:trPr>
          <w:trHeight w:val="419"/>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02124"/>
              </w:rPr>
              <w:t>Constantino Spas</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color w:val="202124"/>
              </w:rPr>
              <w:t>295,000</w:t>
            </w: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202124"/>
              </w:rPr>
              <w:t>295,000</w:t>
            </w:r>
          </w:p>
        </w:tc>
      </w:tr>
    </w:tbl>
    <w:p>
      <w:pPr>
        <w:spacing w:after="0" w:line="107" w:lineRule="exact"/>
        <w:rPr>
          <w:sz w:val="20"/>
          <w:szCs w:val="20"/>
          <w:color w:val="auto"/>
        </w:rPr>
      </w:pPr>
    </w:p>
    <w:p>
      <w:pPr>
        <w:ind w:left="960" w:right="80" w:hanging="316"/>
        <w:spacing w:after="0" w:line="254" w:lineRule="auto"/>
        <w:tabs>
          <w:tab w:leader="none" w:pos="960" w:val="left"/>
        </w:tabs>
        <w:numPr>
          <w:ilvl w:val="0"/>
          <w:numId w:val="22"/>
        </w:numPr>
        <w:rPr>
          <w:rFonts w:ascii="Arial" w:cs="Arial" w:eastAsia="Arial" w:hAnsi="Arial"/>
          <w:sz w:val="16"/>
          <w:szCs w:val="16"/>
          <w:color w:val="202124"/>
        </w:rPr>
      </w:pPr>
      <w:r>
        <w:rPr>
          <w:rFonts w:ascii="Arial" w:cs="Arial" w:eastAsia="Arial" w:hAnsi="Arial"/>
          <w:sz w:val="16"/>
          <w:szCs w:val="16"/>
          <w:color w:val="202124"/>
        </w:rPr>
        <w:t>Philip B. Daniele, III serves on the Board but does not receive any compensation for his service as a director. His respective compensation as an employee of the Company is shown in the Summary Compensation Table on page 62. Beginning in January 2026, in connection with Mr. Rhodes’ transition from Executive Chairman to Chairman of the Board, he was compensated according to the Company’s standard compensation policies for non-employee directors and the Chairman retainer described above. For his service as Executive Chairman from August 31, 2025 through December 31, 2025, Mr. Rhodes received a salary in the amount of $46,153.84.</w:t>
      </w:r>
    </w:p>
    <w:p>
      <w:pPr>
        <w:spacing w:after="0" w:line="19" w:lineRule="exact"/>
        <w:rPr>
          <w:rFonts w:ascii="Arial" w:cs="Arial" w:eastAsia="Arial" w:hAnsi="Arial"/>
          <w:sz w:val="16"/>
          <w:szCs w:val="16"/>
          <w:color w:val="202124"/>
        </w:rPr>
      </w:pPr>
    </w:p>
    <w:p>
      <w:pPr>
        <w:ind w:left="960" w:right="120" w:hanging="316"/>
        <w:spacing w:after="0" w:line="281" w:lineRule="auto"/>
        <w:tabs>
          <w:tab w:leader="none" w:pos="960" w:val="left"/>
        </w:tabs>
        <w:numPr>
          <w:ilvl w:val="0"/>
          <w:numId w:val="22"/>
        </w:numPr>
        <w:rPr>
          <w:rFonts w:ascii="Arial" w:cs="Arial" w:eastAsia="Arial" w:hAnsi="Arial"/>
          <w:sz w:val="16"/>
          <w:szCs w:val="16"/>
          <w:color w:val="202124"/>
        </w:rPr>
      </w:pPr>
      <w:r>
        <w:rPr>
          <w:rFonts w:ascii="Arial" w:cs="Arial" w:eastAsia="Arial" w:hAnsi="Arial"/>
          <w:sz w:val="16"/>
          <w:szCs w:val="16"/>
          <w:color w:val="202124"/>
        </w:rPr>
        <w:t>This column represents the portion of the Director Compensation that was paid in cash and earned in fiscal year 2026 pursuant to the Cash Election, as described above.</w:t>
      </w:r>
    </w:p>
    <w:p>
      <w:pPr>
        <w:spacing w:after="0" w:line="1" w:lineRule="exact"/>
        <w:rPr>
          <w:rFonts w:ascii="Arial" w:cs="Arial" w:eastAsia="Arial" w:hAnsi="Arial"/>
          <w:sz w:val="16"/>
          <w:szCs w:val="16"/>
          <w:color w:val="202124"/>
        </w:rPr>
      </w:pPr>
    </w:p>
    <w:p>
      <w:pPr>
        <w:ind w:left="960" w:right="120" w:hanging="316"/>
        <w:spacing w:after="0" w:line="253" w:lineRule="auto"/>
        <w:tabs>
          <w:tab w:leader="none" w:pos="960" w:val="left"/>
        </w:tabs>
        <w:numPr>
          <w:ilvl w:val="0"/>
          <w:numId w:val="22"/>
        </w:numPr>
        <w:rPr>
          <w:rFonts w:ascii="Arial" w:cs="Arial" w:eastAsia="Arial" w:hAnsi="Arial"/>
          <w:sz w:val="16"/>
          <w:szCs w:val="16"/>
          <w:color w:val="202124"/>
        </w:rPr>
      </w:pPr>
      <w:r>
        <w:rPr>
          <w:rFonts w:ascii="Arial" w:cs="Arial" w:eastAsia="Arial" w:hAnsi="Arial"/>
          <w:sz w:val="16"/>
          <w:szCs w:val="16"/>
          <w:color w:val="202124"/>
        </w:rPr>
        <w:t xml:space="preserve">The “Stock Awards” column represents the aggregate grant date fair value computed in accordance with the Financial Accounting Standards Board (“FASB”) Accounting Standards Codification (“ASC”) Topic 718 for awards of RSUs under the 2020 Omnibus Incentive Plan during fiscal year 2026. </w:t>
      </w:r>
      <w:r>
        <w:rPr>
          <w:rFonts w:ascii="Arial" w:cs="Arial" w:eastAsia="Arial" w:hAnsi="Arial"/>
          <w:sz w:val="16"/>
          <w:szCs w:val="16"/>
          <w:i w:val="1"/>
          <w:iCs w:val="1"/>
          <w:color w:val="202124"/>
        </w:rPr>
        <w:t>See</w:t>
      </w:r>
      <w:r>
        <w:rPr>
          <w:rFonts w:ascii="Arial" w:cs="Arial" w:eastAsia="Arial" w:hAnsi="Arial"/>
          <w:sz w:val="16"/>
          <w:szCs w:val="16"/>
          <w:color w:val="202124"/>
        </w:rPr>
        <w:t xml:space="preserve"> Note N Share-Based Plans, to our consolidated financial statements in the FY26 Form 10-K for a discussion of our accounting for share-based awards and the assumptions used. The aggregate number of outstanding awards of common stock under the AutoZone, Inc. 2003 Director Compensation Plan (“Stock Units”) and RSUs held by each director at the end of fiscal 2026 are shown in the following footnote 4. See the section titled “Share Ownership Information” beginning on page 74 for more information about our directors’ stock ownership.</w:t>
      </w:r>
    </w:p>
    <w:p>
      <w:pPr>
        <w:spacing w:after="0" w:line="19" w:lineRule="exact"/>
        <w:rPr>
          <w:rFonts w:ascii="Arial" w:cs="Arial" w:eastAsia="Arial" w:hAnsi="Arial"/>
          <w:sz w:val="16"/>
          <w:szCs w:val="16"/>
          <w:color w:val="202124"/>
        </w:rPr>
      </w:pPr>
    </w:p>
    <w:p>
      <w:pPr>
        <w:ind w:left="960" w:right="220" w:hanging="316"/>
        <w:spacing w:after="0" w:line="286" w:lineRule="auto"/>
        <w:tabs>
          <w:tab w:leader="none" w:pos="960" w:val="left"/>
        </w:tabs>
        <w:numPr>
          <w:ilvl w:val="0"/>
          <w:numId w:val="22"/>
        </w:numPr>
        <w:rPr>
          <w:rFonts w:ascii="Arial" w:cs="Arial" w:eastAsia="Arial" w:hAnsi="Arial"/>
          <w:sz w:val="16"/>
          <w:szCs w:val="16"/>
          <w:color w:val="202124"/>
        </w:rPr>
      </w:pPr>
      <w:r>
        <w:rPr>
          <w:rFonts w:ascii="Arial" w:cs="Arial" w:eastAsia="Arial" w:hAnsi="Arial"/>
          <w:sz w:val="16"/>
          <w:szCs w:val="16"/>
          <w:color w:val="202124"/>
        </w:rPr>
        <w:t>As of August 29, 2026, each current non-employee director had the following aggregate number of outstanding RSUs and Stock Units:</w:t>
      </w:r>
    </w:p>
    <w:p>
      <w:pPr>
        <w:spacing w:after="0" w:line="21"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7280" w:type="dxa"/>
            <w:vAlign w:val="bottom"/>
            <w:shd w:val="clear" w:color="auto" w:fill="212322"/>
          </w:tcPr>
          <w:p>
            <w:pPr>
              <w:spacing w:after="0"/>
              <w:rPr>
                <w:sz w:val="14"/>
                <w:szCs w:val="14"/>
                <w:color w:val="auto"/>
              </w:rPr>
            </w:pPr>
          </w:p>
        </w:tc>
        <w:tc>
          <w:tcPr>
            <w:tcW w:w="100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 Restricted</w:t>
            </w:r>
          </w:p>
        </w:tc>
        <w:tc>
          <w:tcPr>
            <w:tcW w:w="1000" w:type="dxa"/>
            <w:vAlign w:val="bottom"/>
            <w:shd w:val="clear" w:color="auto" w:fill="212322"/>
          </w:tcPr>
          <w:p>
            <w:pPr>
              <w:jc w:val="right"/>
              <w:ind w:right="715"/>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7280" w:type="dxa"/>
            <w:vAlign w:val="bottom"/>
            <w:shd w:val="clear" w:color="auto" w:fill="212322"/>
          </w:tcPr>
          <w:p>
            <w:pPr>
              <w:spacing w:after="0"/>
              <w:rPr>
                <w:sz w:val="14"/>
                <w:szCs w:val="14"/>
                <w:color w:val="auto"/>
              </w:rPr>
            </w:pPr>
          </w:p>
        </w:tc>
        <w:tc>
          <w:tcPr>
            <w:tcW w:w="1000" w:type="dxa"/>
            <w:vAlign w:val="bottom"/>
            <w:shd w:val="clear" w:color="auto" w:fill="212322"/>
          </w:tcPr>
          <w:p>
            <w:pPr>
              <w:jc w:val="center"/>
              <w:ind w:left="155"/>
              <w:spacing w:after="0"/>
              <w:rPr>
                <w:sz w:val="20"/>
                <w:szCs w:val="20"/>
                <w:color w:val="auto"/>
              </w:rPr>
            </w:pPr>
            <w:r>
              <w:rPr>
                <w:rFonts w:ascii="Arial" w:cs="Arial" w:eastAsia="Arial" w:hAnsi="Arial"/>
                <w:sz w:val="14"/>
                <w:szCs w:val="14"/>
                <w:b w:val="1"/>
                <w:bCs w:val="1"/>
                <w:color w:val="FFFFFF"/>
              </w:rPr>
              <w:t>Stock</w:t>
            </w:r>
          </w:p>
        </w:tc>
        <w:tc>
          <w:tcPr>
            <w:tcW w:w="1000" w:type="dxa"/>
            <w:vAlign w:val="bottom"/>
            <w:shd w:val="clear" w:color="auto" w:fill="212322"/>
          </w:tcPr>
          <w:p>
            <w:pPr>
              <w:jc w:val="center"/>
              <w:ind w:left="155"/>
              <w:spacing w:after="0"/>
              <w:rPr>
                <w:sz w:val="20"/>
                <w:szCs w:val="20"/>
                <w:color w:val="auto"/>
              </w:rPr>
            </w:pPr>
            <w:r>
              <w:rPr>
                <w:rFonts w:ascii="Arial" w:cs="Arial" w:eastAsia="Arial" w:hAnsi="Arial"/>
                <w:sz w:val="14"/>
                <w:szCs w:val="14"/>
                <w:b w:val="1"/>
                <w:bCs w:val="1"/>
                <w:color w:val="FFFFFF"/>
              </w:rPr>
              <w:t>Stock</w:t>
            </w:r>
          </w:p>
        </w:tc>
        <w:tc>
          <w:tcPr>
            <w:tcW w:w="12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7280" w:type="dxa"/>
            <w:vAlign w:val="bottom"/>
            <w:shd w:val="clear" w:color="auto" w:fill="212322"/>
          </w:tcPr>
          <w:p>
            <w:pPr>
              <w:spacing w:after="0"/>
              <w:rPr>
                <w:sz w:val="14"/>
                <w:szCs w:val="14"/>
                <w:color w:val="auto"/>
              </w:rPr>
            </w:pPr>
          </w:p>
        </w:tc>
        <w:tc>
          <w:tcPr>
            <w:tcW w:w="1000" w:type="dxa"/>
            <w:vAlign w:val="bottom"/>
            <w:shd w:val="clear" w:color="auto" w:fill="212322"/>
          </w:tcPr>
          <w:p>
            <w:pPr>
              <w:jc w:val="center"/>
              <w:ind w:left="155"/>
              <w:spacing w:after="0"/>
              <w:rPr>
                <w:sz w:val="20"/>
                <w:szCs w:val="20"/>
                <w:color w:val="auto"/>
              </w:rPr>
            </w:pPr>
            <w:r>
              <w:rPr>
                <w:rFonts w:ascii="Arial" w:cs="Arial" w:eastAsia="Arial" w:hAnsi="Arial"/>
                <w:sz w:val="14"/>
                <w:szCs w:val="14"/>
                <w:b w:val="1"/>
                <w:bCs w:val="1"/>
                <w:color w:val="FFFFFF"/>
              </w:rPr>
              <w:t>Units</w:t>
            </w:r>
          </w:p>
        </w:tc>
        <w:tc>
          <w:tcPr>
            <w:tcW w:w="1000" w:type="dxa"/>
            <w:vAlign w:val="bottom"/>
            <w:shd w:val="clear" w:color="auto" w:fill="212322"/>
          </w:tcPr>
          <w:p>
            <w:pPr>
              <w:jc w:val="center"/>
              <w:ind w:left="155"/>
              <w:spacing w:after="0"/>
              <w:rPr>
                <w:sz w:val="20"/>
                <w:szCs w:val="20"/>
                <w:color w:val="auto"/>
              </w:rPr>
            </w:pPr>
            <w:r>
              <w:rPr>
                <w:rFonts w:ascii="Arial" w:cs="Arial" w:eastAsia="Arial" w:hAnsi="Arial"/>
                <w:sz w:val="14"/>
                <w:szCs w:val="14"/>
                <w:b w:val="1"/>
                <w:bCs w:val="1"/>
                <w:color w:val="FFFFFF"/>
              </w:rPr>
              <w:t>Units</w:t>
            </w:r>
          </w:p>
        </w:tc>
        <w:tc>
          <w:tcPr>
            <w:tcW w:w="120" w:type="dxa"/>
            <w:vAlign w:val="bottom"/>
          </w:tcPr>
          <w:p>
            <w:pPr>
              <w:spacing w:after="0"/>
              <w:rPr>
                <w:sz w:val="14"/>
                <w:szCs w:val="14"/>
                <w:color w:val="auto"/>
              </w:rPr>
            </w:pPr>
          </w:p>
        </w:tc>
      </w:tr>
      <w:tr>
        <w:trPr>
          <w:trHeight w:val="189"/>
        </w:trPr>
        <w:tc>
          <w:tcPr>
            <w:tcW w:w="320" w:type="dxa"/>
            <w:vAlign w:val="bottom"/>
          </w:tcPr>
          <w:p>
            <w:pPr>
              <w:spacing w:after="0"/>
              <w:rPr>
                <w:sz w:val="16"/>
                <w:szCs w:val="16"/>
                <w:color w:val="auto"/>
              </w:rPr>
            </w:pPr>
          </w:p>
        </w:tc>
        <w:tc>
          <w:tcPr>
            <w:tcW w:w="728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Name</w:t>
            </w:r>
          </w:p>
        </w:tc>
        <w:tc>
          <w:tcPr>
            <w:tcW w:w="1000" w:type="dxa"/>
            <w:vAlign w:val="bottom"/>
            <w:shd w:val="clear" w:color="auto" w:fill="212322"/>
          </w:tcPr>
          <w:p>
            <w:pPr>
              <w:jc w:val="center"/>
              <w:ind w:left="175"/>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212322"/>
          </w:tcPr>
          <w:p>
            <w:pPr>
              <w:jc w:val="center"/>
              <w:ind w:left="175"/>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spacing w:after="0"/>
              <w:rPr>
                <w:sz w:val="16"/>
                <w:szCs w:val="16"/>
                <w:color w:val="auto"/>
              </w:rPr>
            </w:pPr>
          </w:p>
        </w:tc>
      </w:tr>
      <w:tr>
        <w:trPr>
          <w:trHeight w:val="243"/>
        </w:trPr>
        <w:tc>
          <w:tcPr>
            <w:tcW w:w="320" w:type="dxa"/>
            <w:vAlign w:val="bottom"/>
          </w:tcPr>
          <w:p>
            <w:pPr>
              <w:spacing w:after="0"/>
              <w:rPr>
                <w:sz w:val="21"/>
                <w:szCs w:val="21"/>
                <w:color w:val="auto"/>
              </w:rPr>
            </w:pPr>
          </w:p>
        </w:tc>
        <w:tc>
          <w:tcPr>
            <w:tcW w:w="72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Michael A. George</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508</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20" w:type="dxa"/>
            <w:vAlign w:val="bottom"/>
          </w:tcPr>
          <w:p>
            <w:pPr>
              <w:spacing w:after="0"/>
              <w:rPr>
                <w:sz w:val="21"/>
                <w:szCs w:val="21"/>
                <w:color w:val="auto"/>
              </w:rPr>
            </w:pPr>
          </w:p>
        </w:tc>
      </w:tr>
      <w:tr>
        <w:trPr>
          <w:trHeight w:val="237"/>
        </w:trPr>
        <w:tc>
          <w:tcPr>
            <w:tcW w:w="3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202124"/>
              </w:rPr>
              <w:t>Linda A. Goodspeed</w:t>
            </w:r>
          </w:p>
        </w:tc>
        <w:tc>
          <w:tcPr>
            <w:tcW w:w="1000" w:type="dxa"/>
            <w:vAlign w:val="bottom"/>
          </w:tcPr>
          <w:p>
            <w:pPr>
              <w:jc w:val="right"/>
              <w:spacing w:after="0"/>
              <w:rPr>
                <w:sz w:val="20"/>
                <w:szCs w:val="20"/>
                <w:color w:val="auto"/>
              </w:rPr>
            </w:pPr>
            <w:r>
              <w:rPr>
                <w:rFonts w:ascii="Arial" w:cs="Arial" w:eastAsia="Arial" w:hAnsi="Arial"/>
                <w:sz w:val="18"/>
                <w:szCs w:val="18"/>
                <w:color w:val="202124"/>
              </w:rPr>
              <w:t>2,987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202124"/>
              </w:rPr>
              <w:t>—</w:t>
            </w:r>
          </w:p>
        </w:tc>
      </w:tr>
      <w:tr>
        <w:trPr>
          <w:trHeight w:val="236"/>
        </w:trPr>
        <w:tc>
          <w:tcPr>
            <w:tcW w:w="320" w:type="dxa"/>
            <w:vAlign w:val="bottom"/>
          </w:tcPr>
          <w:p>
            <w:pPr>
              <w:spacing w:after="0"/>
              <w:rPr>
                <w:sz w:val="20"/>
                <w:szCs w:val="20"/>
                <w:color w:val="auto"/>
              </w:rPr>
            </w:pPr>
          </w:p>
        </w:tc>
        <w:tc>
          <w:tcPr>
            <w:tcW w:w="728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202124"/>
              </w:rPr>
              <w:t>Earl G. Graves</w:t>
            </w:r>
          </w:p>
        </w:tc>
        <w:tc>
          <w:tcPr>
            <w:tcW w:w="10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202124"/>
              </w:rPr>
              <w:t>4,818</w:t>
            </w:r>
          </w:p>
        </w:tc>
        <w:tc>
          <w:tcPr>
            <w:tcW w:w="10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202124"/>
              </w:rPr>
              <w:t>3,417</w:t>
            </w:r>
          </w:p>
        </w:tc>
        <w:tc>
          <w:tcPr>
            <w:tcW w:w="12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2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Brian P. Hannasch</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310</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2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2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Gale V. King</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1,336</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2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202124"/>
              </w:rPr>
              <w:t>Claire R. McDonough</w:t>
            </w:r>
          </w:p>
        </w:tc>
        <w:tc>
          <w:tcPr>
            <w:tcW w:w="1000" w:type="dxa"/>
            <w:vAlign w:val="bottom"/>
          </w:tcPr>
          <w:p>
            <w:pPr>
              <w:jc w:val="right"/>
              <w:spacing w:after="0"/>
              <w:rPr>
                <w:sz w:val="20"/>
                <w:szCs w:val="20"/>
                <w:color w:val="auto"/>
              </w:rPr>
            </w:pPr>
            <w:r>
              <w:rPr>
                <w:rFonts w:ascii="Arial" w:cs="Arial" w:eastAsia="Arial" w:hAnsi="Arial"/>
                <w:sz w:val="18"/>
                <w:szCs w:val="18"/>
                <w:color w:val="202124"/>
              </w:rPr>
              <w:t>143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202124"/>
              </w:rPr>
              <w:t>—</w:t>
            </w:r>
          </w:p>
        </w:tc>
      </w:tr>
      <w:tr>
        <w:trPr>
          <w:trHeight w:val="236"/>
        </w:trPr>
        <w:tc>
          <w:tcPr>
            <w:tcW w:w="320" w:type="dxa"/>
            <w:vAlign w:val="bottom"/>
          </w:tcPr>
          <w:p>
            <w:pPr>
              <w:spacing w:after="0"/>
              <w:rPr>
                <w:sz w:val="20"/>
                <w:szCs w:val="20"/>
                <w:color w:val="auto"/>
              </w:rPr>
            </w:pPr>
          </w:p>
        </w:tc>
        <w:tc>
          <w:tcPr>
            <w:tcW w:w="728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202124"/>
              </w:rPr>
              <w:t>George R. Mrkonic, Jr.</w:t>
            </w:r>
          </w:p>
        </w:tc>
        <w:tc>
          <w:tcPr>
            <w:tcW w:w="10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202124"/>
              </w:rPr>
              <w:t>3,228</w:t>
            </w:r>
          </w:p>
        </w:tc>
        <w:tc>
          <w:tcPr>
            <w:tcW w:w="10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202124"/>
              </w:rPr>
              <w:t>1,405</w:t>
            </w:r>
          </w:p>
        </w:tc>
        <w:tc>
          <w:tcPr>
            <w:tcW w:w="12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2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William C. Rhodes, III</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156</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2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28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Jill A. Soltau</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1,254</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20" w:type="dxa"/>
            <w:vAlign w:val="bottom"/>
          </w:tcPr>
          <w:p>
            <w:pPr>
              <w:spacing w:after="0"/>
              <w:rPr>
                <w:sz w:val="20"/>
                <w:szCs w:val="20"/>
                <w:color w:val="auto"/>
              </w:rPr>
            </w:pPr>
          </w:p>
        </w:tc>
      </w:tr>
      <w:tr>
        <w:trPr>
          <w:trHeight w:val="230"/>
        </w:trPr>
        <w:tc>
          <w:tcPr>
            <w:tcW w:w="320" w:type="dxa"/>
            <w:vAlign w:val="bottom"/>
          </w:tcPr>
          <w:p>
            <w:pPr>
              <w:spacing w:after="0"/>
              <w:rPr>
                <w:sz w:val="20"/>
                <w:szCs w:val="20"/>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202124"/>
              </w:rPr>
              <w:t>Constantino Spas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02124"/>
              </w:rPr>
              <w:t>87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02124"/>
              </w:rPr>
              <w:t>—</w:t>
            </w:r>
          </w:p>
        </w:tc>
        <w:tc>
          <w:tcPr>
            <w:tcW w:w="120" w:type="dxa"/>
            <w:vAlign w:val="bottom"/>
          </w:tcPr>
          <w:p>
            <w:pPr>
              <w:spacing w:after="0"/>
              <w:rPr>
                <w:sz w:val="20"/>
                <w:szCs w:val="20"/>
                <w:color w:val="auto"/>
              </w:rPr>
            </w:pPr>
          </w:p>
        </w:tc>
      </w:tr>
      <w:tr>
        <w:trPr>
          <w:trHeight w:val="814"/>
        </w:trPr>
        <w:tc>
          <w:tcPr>
            <w:tcW w:w="7600" w:type="dxa"/>
            <w:vAlign w:val="bottom"/>
            <w:gridSpan w:val="2"/>
          </w:tcPr>
          <w:p>
            <w:pPr>
              <w:spacing w:after="0"/>
              <w:rPr>
                <w:sz w:val="20"/>
                <w:szCs w:val="20"/>
                <w:color w:val="auto"/>
              </w:rPr>
            </w:pPr>
            <w:r>
              <w:rPr>
                <w:rFonts w:ascii="Arial" w:cs="Arial" w:eastAsia="Arial" w:hAnsi="Arial"/>
                <w:sz w:val="18"/>
                <w:szCs w:val="18"/>
                <w:color w:val="202124"/>
              </w:rPr>
              <w:t>2026 Proxy Statement</w:t>
            </w:r>
          </w:p>
        </w:tc>
        <w:tc>
          <w:tcPr>
            <w:tcW w:w="10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202124"/>
              </w:rPr>
              <w:t>19</w:t>
            </w:r>
          </w:p>
        </w:tc>
      </w:tr>
    </w:tbl>
    <w:p>
      <w:pPr>
        <w:sectPr>
          <w:pgSz w:w="11900" w:h="16838" w:orient="portrait"/>
          <w:cols w:equalWidth="0" w:num="1">
            <w:col w:w="10360"/>
          </w:cols>
          <w:pgMar w:left="440" w:top="106" w:right="1099" w:bottom="1440" w:gutter="0" w:footer="0" w:header="0"/>
        </w:sectPr>
      </w:pPr>
    </w:p>
    <w:bookmarkStart w:id="22" w:name="page23"/>
    <w:bookmarkEnd w:id="2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line="244" w:lineRule="auto"/>
        <w:rPr>
          <w:sz w:val="20"/>
          <w:szCs w:val="20"/>
          <w:color w:val="auto"/>
        </w:rPr>
      </w:pPr>
      <w:r>
        <w:rPr>
          <w:rFonts w:ascii="Arial" w:cs="Arial" w:eastAsia="Arial" w:hAnsi="Arial"/>
          <w:sz w:val="18"/>
          <w:szCs w:val="18"/>
          <w:b w:val="1"/>
          <w:bCs w:val="1"/>
          <w:color w:val="F37F00"/>
        </w:rPr>
        <w:t xml:space="preserve">COMPENSATION-SETTING PROCESS. </w:t>
      </w:r>
      <w:r>
        <w:rPr>
          <w:rFonts w:ascii="Arial" w:cs="Arial" w:eastAsia="Arial" w:hAnsi="Arial"/>
          <w:sz w:val="18"/>
          <w:szCs w:val="18"/>
          <w:color w:val="202124"/>
        </w:rPr>
        <w:t>The Compensation Committee reviews the Board’s compensation on a biennial</w:t>
      </w:r>
      <w:r>
        <w:rPr>
          <w:rFonts w:ascii="Arial" w:cs="Arial" w:eastAsia="Arial" w:hAnsi="Arial"/>
          <w:sz w:val="18"/>
          <w:szCs w:val="18"/>
          <w:b w:val="1"/>
          <w:bCs w:val="1"/>
          <w:color w:val="F37F00"/>
        </w:rPr>
        <w:t xml:space="preserve"> </w:t>
      </w:r>
      <w:r>
        <w:rPr>
          <w:rFonts w:ascii="Arial" w:cs="Arial" w:eastAsia="Arial" w:hAnsi="Arial"/>
          <w:sz w:val="18"/>
          <w:szCs w:val="18"/>
          <w:color w:val="202124"/>
        </w:rPr>
        <w:t>basis to ensure that non-employee directors are reasonably compensated in relation to AutoZone’s peer group companies (discussed in detail under Benchmarking) and to comparable U.S. companies in general. AutoZone’s 2020 Omnibus Incentive Plan contains a dollar limit of $750,000 on the total amount of annual compensation payable to its non-employee directors, provided that the Board may make exceptions to this limit under extraordinary circumstances.</w:t>
      </w:r>
    </w:p>
    <w:p>
      <w:pPr>
        <w:spacing w:after="0" w:line="68" w:lineRule="exact"/>
        <w:rPr>
          <w:sz w:val="20"/>
          <w:szCs w:val="20"/>
          <w:color w:val="auto"/>
        </w:rPr>
      </w:pPr>
    </w:p>
    <w:p>
      <w:pPr>
        <w:ind w:left="640" w:right="60"/>
        <w:spacing w:after="0" w:line="239" w:lineRule="auto"/>
        <w:rPr>
          <w:sz w:val="20"/>
          <w:szCs w:val="20"/>
          <w:color w:val="auto"/>
        </w:rPr>
      </w:pPr>
      <w:r>
        <w:rPr>
          <w:rFonts w:ascii="Arial" w:cs="Arial" w:eastAsia="Arial" w:hAnsi="Arial"/>
          <w:sz w:val="18"/>
          <w:szCs w:val="18"/>
          <w:b w:val="1"/>
          <w:bCs w:val="1"/>
          <w:color w:val="F37F00"/>
        </w:rPr>
        <w:t xml:space="preserve">STOCK OWNERSHIP REQUIREMENT. </w:t>
      </w:r>
      <w:r>
        <w:rPr>
          <w:rFonts w:ascii="Arial" w:cs="Arial" w:eastAsia="Arial" w:hAnsi="Arial"/>
          <w:sz w:val="18"/>
          <w:szCs w:val="18"/>
          <w:color w:val="202124"/>
        </w:rPr>
        <w:t>The Board has established a stock ownership requirement for non-employee</w:t>
      </w:r>
      <w:r>
        <w:rPr>
          <w:rFonts w:ascii="Arial" w:cs="Arial" w:eastAsia="Arial" w:hAnsi="Arial"/>
          <w:sz w:val="18"/>
          <w:szCs w:val="18"/>
          <w:b w:val="1"/>
          <w:bCs w:val="1"/>
          <w:color w:val="F37F00"/>
        </w:rPr>
        <w:t xml:space="preserve"> </w:t>
      </w:r>
      <w:r>
        <w:rPr>
          <w:rFonts w:ascii="Arial" w:cs="Arial" w:eastAsia="Arial" w:hAnsi="Arial"/>
          <w:sz w:val="18"/>
          <w:szCs w:val="18"/>
          <w:color w:val="202124"/>
        </w:rPr>
        <w:t>directors. Each director is required to own AutoZone common stock and/or RSUs having a cumulative fair market value in an amount equal to seven times the value of the cash Annual Retainer payable pursuant to the Director Compensation Program within five years of joining the Board, and to maintain such ownership level thereafter. Exceptions to this requirement may only be made by the Board under compelling mitigating circumstances. Shares, Stock Units and RSUs issued under the AutoZone, Inc. Second Amended and Restated Director Compensation Plan, the 2003 Director Compensation Plan, the 2011 Equity Plan, the Amended 2011 Equity Plan and the 2020 Omnibus Incentive Plan count toward this requirement. As of the date of this Proxy Statement, each director who has served on the Board meets or exceeds his or her obligations under the requirement.</w:t>
      </w:r>
    </w:p>
    <w:p>
      <w:pPr>
        <w:spacing w:after="0" w:line="75" w:lineRule="exact"/>
        <w:rPr>
          <w:sz w:val="20"/>
          <w:szCs w:val="20"/>
          <w:color w:val="auto"/>
        </w:rPr>
      </w:pPr>
    </w:p>
    <w:p>
      <w:pPr>
        <w:ind w:left="640" w:right="100"/>
        <w:spacing w:after="0" w:line="241" w:lineRule="auto"/>
        <w:rPr>
          <w:sz w:val="20"/>
          <w:szCs w:val="20"/>
          <w:color w:val="auto"/>
        </w:rPr>
      </w:pPr>
      <w:r>
        <w:rPr>
          <w:rFonts w:ascii="Arial" w:cs="Arial" w:eastAsia="Arial" w:hAnsi="Arial"/>
          <w:sz w:val="18"/>
          <w:szCs w:val="18"/>
          <w:b w:val="1"/>
          <w:bCs w:val="1"/>
          <w:color w:val="F37F00"/>
        </w:rPr>
        <w:t xml:space="preserve">OTHER PREDECESSOR PLANS. </w:t>
      </w:r>
      <w:r>
        <w:rPr>
          <w:rFonts w:ascii="Arial" w:cs="Arial" w:eastAsia="Arial" w:hAnsi="Arial"/>
          <w:sz w:val="18"/>
          <w:szCs w:val="18"/>
          <w:color w:val="202124"/>
        </w:rPr>
        <w:t>The AutoZone, Inc. Second Amended and Restated Director Compensation Plan was</w:t>
      </w:r>
      <w:r>
        <w:rPr>
          <w:rFonts w:ascii="Arial" w:cs="Arial" w:eastAsia="Arial" w:hAnsi="Arial"/>
          <w:sz w:val="18"/>
          <w:szCs w:val="18"/>
          <w:b w:val="1"/>
          <w:bCs w:val="1"/>
          <w:color w:val="F37F00"/>
        </w:rPr>
        <w:t xml:space="preserve"> </w:t>
      </w:r>
      <w:r>
        <w:rPr>
          <w:rFonts w:ascii="Arial" w:cs="Arial" w:eastAsia="Arial" w:hAnsi="Arial"/>
          <w:sz w:val="18"/>
          <w:szCs w:val="18"/>
          <w:color w:val="202124"/>
        </w:rPr>
        <w:t>terminated in December 2002 and was replaced by the AutoZone, Inc. First Amended and Restated 2003 Director Compensation Plan (the “2003 Director Compensation Plan”) and the AutoZone, Inc. First Amended and Restated</w:t>
      </w:r>
    </w:p>
    <w:p>
      <w:pPr>
        <w:spacing w:after="0" w:line="2" w:lineRule="exact"/>
        <w:rPr>
          <w:sz w:val="20"/>
          <w:szCs w:val="20"/>
          <w:color w:val="auto"/>
        </w:rPr>
      </w:pPr>
    </w:p>
    <w:p>
      <w:pPr>
        <w:ind w:left="640" w:right="20"/>
        <w:spacing w:after="0" w:line="238" w:lineRule="auto"/>
        <w:rPr>
          <w:sz w:val="20"/>
          <w:szCs w:val="20"/>
          <w:color w:val="auto"/>
        </w:rPr>
      </w:pPr>
      <w:r>
        <w:rPr>
          <w:rFonts w:ascii="Arial" w:cs="Arial" w:eastAsia="Arial" w:hAnsi="Arial"/>
          <w:sz w:val="18"/>
          <w:szCs w:val="18"/>
          <w:color w:val="202124"/>
        </w:rPr>
        <w:t>2003 Director Stock Option Plan (the “2003 Director Stock Option Plan”). The 2003 Director Compensation Plan and the 2003 Director Stock Option Plan were terminated in December 2010 and replaced by the 2011 Equity Plan. The 2011 Equity Plan was terminated in December 2015 and replaced with the Amended 2011 Equity Plan. In December 2020, stockholders approved the 2020 Omnibus Incentive Plan and no further grants have been made under the Amended 2011 Equity Plan. However, grants made under the foregoing predecessor plans continue in effect under the terms of the applicable grants and are included in the aggregate awards outstanding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20   </w:t>
      </w:r>
      <w:r>
        <w:rPr>
          <w:sz w:val="1"/>
          <w:szCs w:val="1"/>
          <w:color w:val="auto"/>
        </w:rPr>
        <w:drawing>
          <wp:inline distT="0" distB="0" distL="0" distR="0">
            <wp:extent cx="116586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23" w:name="page24"/>
    <w:bookmarkEnd w:id="2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Shareholder Engagement</w:t>
      </w:r>
    </w:p>
    <w:p>
      <w:pPr>
        <w:spacing w:after="0" w:line="111" w:lineRule="exact"/>
        <w:rPr>
          <w:sz w:val="20"/>
          <w:szCs w:val="20"/>
          <w:color w:val="auto"/>
        </w:rPr>
      </w:pPr>
    </w:p>
    <w:p>
      <w:pPr>
        <w:ind w:left="640" w:right="120"/>
        <w:spacing w:after="0" w:line="244" w:lineRule="auto"/>
        <w:rPr>
          <w:sz w:val="20"/>
          <w:szCs w:val="20"/>
          <w:color w:val="auto"/>
        </w:rPr>
      </w:pPr>
      <w:r>
        <w:rPr>
          <w:rFonts w:ascii="Arial" w:cs="Arial" w:eastAsia="Arial" w:hAnsi="Arial"/>
          <w:sz w:val="18"/>
          <w:szCs w:val="18"/>
          <w:color w:val="202124"/>
        </w:rPr>
        <w:t>At AutoZone, we have long believed maintaining a strong and transparent relationship with our shareholders is essential. We have always been committed to engaging with our shareholders on key issues, including board composition, leadership transitions, executive compensation, governance practices and strategy. We believe our engagement efforts allow us to better understand the priorities, perspectives, and concerns of our shareholders, strengthen our relationships with our shareholders and make more informed decisions for the benefit of our shareholders.</w:t>
      </w:r>
    </w:p>
    <w:p>
      <w:pPr>
        <w:spacing w:after="0" w:line="149" w:lineRule="exact"/>
        <w:rPr>
          <w:sz w:val="20"/>
          <w:szCs w:val="20"/>
          <w:color w:val="auto"/>
        </w:rPr>
      </w:pPr>
    </w:p>
    <w:p>
      <w:pPr>
        <w:ind w:left="640" w:right="80"/>
        <w:spacing w:after="0" w:line="247" w:lineRule="auto"/>
        <w:rPr>
          <w:sz w:val="20"/>
          <w:szCs w:val="20"/>
          <w:color w:val="auto"/>
        </w:rPr>
      </w:pPr>
      <w:r>
        <w:rPr>
          <w:rFonts w:ascii="Arial" w:cs="Arial" w:eastAsia="Arial" w:hAnsi="Arial"/>
          <w:sz w:val="18"/>
          <w:szCs w:val="18"/>
          <w:b w:val="1"/>
          <w:bCs w:val="1"/>
          <w:color w:val="202124"/>
        </w:rPr>
        <w:t xml:space="preserve">Engagement Team. </w:t>
      </w:r>
      <w:r>
        <w:rPr>
          <w:rFonts w:ascii="Arial" w:cs="Arial" w:eastAsia="Arial" w:hAnsi="Arial"/>
          <w:sz w:val="18"/>
          <w:szCs w:val="18"/>
          <w:color w:val="202124"/>
        </w:rPr>
        <w:t>Our engagement team typically includes one or more of our Chairman, President and Chief</w:t>
      </w:r>
      <w:r>
        <w:rPr>
          <w:rFonts w:ascii="Arial" w:cs="Arial" w:eastAsia="Arial" w:hAnsi="Arial"/>
          <w:sz w:val="18"/>
          <w:szCs w:val="18"/>
          <w:b w:val="1"/>
          <w:bCs w:val="1"/>
          <w:color w:val="202124"/>
        </w:rPr>
        <w:t xml:space="preserve"> </w:t>
      </w:r>
      <w:r>
        <w:rPr>
          <w:rFonts w:ascii="Arial" w:cs="Arial" w:eastAsia="Arial" w:hAnsi="Arial"/>
          <w:sz w:val="18"/>
          <w:szCs w:val="18"/>
          <w:color w:val="202124"/>
        </w:rPr>
        <w:t>Executive Officer, Chief Financial Officer, General Counsel and Vice President of Investor Relations. However, depending on the specific topic that our investors may wish to discuss, we may have independent members of the Board, other members of our Executive Committee or internal subject-matter leaders participate.</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68"/>
        </w:trPr>
        <w:tc>
          <w:tcPr>
            <w:tcW w:w="10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1580" w:type="dxa"/>
            <w:vAlign w:val="bottom"/>
            <w:shd w:val="clear" w:color="auto" w:fill="D9D9D9"/>
          </w:tcPr>
          <w:p>
            <w:pPr>
              <w:spacing w:after="0"/>
              <w:rPr>
                <w:sz w:val="5"/>
                <w:szCs w:val="5"/>
                <w:color w:val="auto"/>
              </w:rPr>
            </w:pPr>
          </w:p>
        </w:tc>
        <w:tc>
          <w:tcPr>
            <w:tcW w:w="440" w:type="dxa"/>
            <w:vAlign w:val="bottom"/>
            <w:shd w:val="clear" w:color="auto" w:fill="D9D9D9"/>
          </w:tcPr>
          <w:p>
            <w:pPr>
              <w:spacing w:after="0"/>
              <w:rPr>
                <w:sz w:val="5"/>
                <w:szCs w:val="5"/>
                <w:color w:val="auto"/>
              </w:rPr>
            </w:pPr>
          </w:p>
        </w:tc>
        <w:tc>
          <w:tcPr>
            <w:tcW w:w="730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r>
      <w:tr>
        <w:trPr>
          <w:trHeight w:val="350"/>
        </w:trPr>
        <w:tc>
          <w:tcPr>
            <w:tcW w:w="10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40" w:type="dxa"/>
            <w:vAlign w:val="bottom"/>
            <w:gridSpan w:val="2"/>
          </w:tcPr>
          <w:p>
            <w:pPr>
              <w:ind w:left="1600"/>
              <w:spacing w:after="0"/>
              <w:rPr>
                <w:sz w:val="20"/>
                <w:szCs w:val="20"/>
                <w:color w:val="auto"/>
              </w:rPr>
            </w:pPr>
            <w:r>
              <w:rPr>
                <w:rFonts w:ascii="Arial" w:cs="Arial" w:eastAsia="Arial" w:hAnsi="Arial"/>
                <w:sz w:val="18"/>
                <w:szCs w:val="18"/>
                <w:b w:val="1"/>
                <w:bCs w:val="1"/>
                <w:color w:val="202124"/>
              </w:rPr>
              <w:t>Engagement Framework</w:t>
            </w:r>
          </w:p>
        </w:tc>
        <w:tc>
          <w:tcPr>
            <w:tcW w:w="140" w:type="dxa"/>
            <w:vAlign w:val="bottom"/>
            <w:shd w:val="clear" w:color="auto" w:fill="D9D9D9"/>
          </w:tcPr>
          <w:p>
            <w:pPr>
              <w:spacing w:after="0"/>
              <w:rPr>
                <w:sz w:val="24"/>
                <w:szCs w:val="24"/>
                <w:color w:val="auto"/>
              </w:rPr>
            </w:pPr>
          </w:p>
        </w:tc>
      </w:tr>
      <w:tr>
        <w:trPr>
          <w:trHeight w:val="83"/>
        </w:trPr>
        <w:tc>
          <w:tcPr>
            <w:tcW w:w="100" w:type="dxa"/>
            <w:vAlign w:val="bottom"/>
            <w:tcBorders>
              <w:bottom w:val="single" w:sz="8" w:color="D9D9D9"/>
            </w:tcBorders>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F37F00"/>
            </w:tcBorders>
          </w:tcPr>
          <w:p>
            <w:pPr>
              <w:spacing w:after="0"/>
              <w:rPr>
                <w:sz w:val="7"/>
                <w:szCs w:val="7"/>
                <w:color w:val="auto"/>
              </w:rPr>
            </w:pPr>
          </w:p>
        </w:tc>
        <w:tc>
          <w:tcPr>
            <w:tcW w:w="440" w:type="dxa"/>
            <w:vAlign w:val="bottom"/>
            <w:tcBorders>
              <w:bottom w:val="single" w:sz="8" w:color="F37F00"/>
            </w:tcBorders>
          </w:tcPr>
          <w:p>
            <w:pPr>
              <w:spacing w:after="0"/>
              <w:rPr>
                <w:sz w:val="7"/>
                <w:szCs w:val="7"/>
                <w:color w:val="auto"/>
              </w:rPr>
            </w:pPr>
          </w:p>
        </w:tc>
        <w:tc>
          <w:tcPr>
            <w:tcW w:w="7300" w:type="dxa"/>
            <w:vAlign w:val="bottom"/>
            <w:tcBorders>
              <w:bottom w:val="single" w:sz="8" w:color="F37F00"/>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bottom w:val="single" w:sz="8" w:color="D9D9D9"/>
            </w:tcBorders>
            <w:shd w:val="clear" w:color="auto" w:fill="D9D9D9"/>
          </w:tcPr>
          <w:p>
            <w:pPr>
              <w:spacing w:after="0"/>
              <w:rPr>
                <w:sz w:val="7"/>
                <w:szCs w:val="7"/>
                <w:color w:val="auto"/>
              </w:rPr>
            </w:pPr>
          </w:p>
        </w:tc>
      </w:tr>
      <w:tr>
        <w:trPr>
          <w:trHeight w:val="275"/>
        </w:trPr>
        <w:tc>
          <w:tcPr>
            <w:tcW w:w="10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8"/>
                <w:szCs w:val="18"/>
                <w:b w:val="1"/>
                <w:bCs w:val="1"/>
                <w:color w:val="F37F00"/>
              </w:rPr>
              <w:t>Pre-Meeting</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F37F00"/>
              </w:rPr>
              <w:t>●</w:t>
            </w:r>
          </w:p>
        </w:tc>
        <w:tc>
          <w:tcPr>
            <w:tcW w:w="7440" w:type="dxa"/>
            <w:vAlign w:val="bottom"/>
            <w:gridSpan w:val="2"/>
          </w:tcPr>
          <w:p>
            <w:pPr>
              <w:ind w:left="100"/>
              <w:spacing w:after="0"/>
              <w:rPr>
                <w:sz w:val="20"/>
                <w:szCs w:val="20"/>
                <w:color w:val="auto"/>
              </w:rPr>
            </w:pPr>
            <w:r>
              <w:rPr>
                <w:rFonts w:ascii="Arial" w:cs="Arial" w:eastAsia="Arial" w:hAnsi="Arial"/>
                <w:sz w:val="18"/>
                <w:szCs w:val="18"/>
                <w:color w:val="202124"/>
              </w:rPr>
              <w:t>Review updates to investors’ and proxy advisory firms’ governance policies.</w:t>
            </w:r>
          </w:p>
        </w:tc>
        <w:tc>
          <w:tcPr>
            <w:tcW w:w="140" w:type="dxa"/>
            <w:vAlign w:val="bottom"/>
            <w:shd w:val="clear" w:color="auto" w:fill="D9D9D9"/>
          </w:tcPr>
          <w:p>
            <w:pPr>
              <w:spacing w:after="0"/>
              <w:rPr>
                <w:sz w:val="23"/>
                <w:szCs w:val="23"/>
                <w:color w:val="auto"/>
              </w:rPr>
            </w:pPr>
          </w:p>
        </w:tc>
      </w:tr>
      <w:tr>
        <w:trPr>
          <w:trHeight w:val="262"/>
        </w:trPr>
        <w:tc>
          <w:tcPr>
            <w:tcW w:w="100" w:type="dxa"/>
            <w:vAlign w:val="bottom"/>
            <w:shd w:val="clear" w:color="auto" w:fill="D9D9D9"/>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Monitor governance-related trends and regulatory developments.</w:t>
            </w:r>
          </w:p>
        </w:tc>
        <w:tc>
          <w:tcPr>
            <w:tcW w:w="140" w:type="dxa"/>
            <w:vAlign w:val="bottom"/>
            <w:shd w:val="clear" w:color="auto" w:fill="D9D9D9"/>
          </w:tcPr>
          <w:p>
            <w:pPr>
              <w:spacing w:after="0"/>
              <w:rPr>
                <w:sz w:val="22"/>
                <w:szCs w:val="22"/>
                <w:color w:val="auto"/>
              </w:rPr>
            </w:pPr>
          </w:p>
        </w:tc>
      </w:tr>
      <w:tr>
        <w:trPr>
          <w:trHeight w:val="234"/>
        </w:trPr>
        <w:tc>
          <w:tcPr>
            <w:tcW w:w="1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Conduct off-cycle engagement, including letter correspondence from our Chairman, to</w:t>
            </w:r>
          </w:p>
        </w:tc>
        <w:tc>
          <w:tcPr>
            <w:tcW w:w="140" w:type="dxa"/>
            <w:vAlign w:val="bottom"/>
            <w:shd w:val="clear" w:color="auto" w:fill="D9D9D9"/>
          </w:tcPr>
          <w:p>
            <w:pPr>
              <w:spacing w:after="0"/>
              <w:rPr>
                <w:sz w:val="20"/>
                <w:szCs w:val="20"/>
                <w:color w:val="auto"/>
              </w:rPr>
            </w:pPr>
          </w:p>
        </w:tc>
      </w:tr>
      <w:tr>
        <w:trPr>
          <w:trHeight w:val="239"/>
        </w:trPr>
        <w:tc>
          <w:tcPr>
            <w:tcW w:w="1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further understand investors’ views and priorities.</w:t>
            </w:r>
          </w:p>
        </w:tc>
        <w:tc>
          <w:tcPr>
            <w:tcW w:w="140" w:type="dxa"/>
            <w:vAlign w:val="bottom"/>
            <w:shd w:val="clear" w:color="auto" w:fill="D9D9D9"/>
          </w:tcPr>
          <w:p>
            <w:pPr>
              <w:spacing w:after="0"/>
              <w:rPr>
                <w:sz w:val="20"/>
                <w:szCs w:val="20"/>
                <w:color w:val="auto"/>
              </w:rPr>
            </w:pPr>
          </w:p>
        </w:tc>
      </w:tr>
      <w:tr>
        <w:trPr>
          <w:trHeight w:val="172"/>
        </w:trPr>
        <w:tc>
          <w:tcPr>
            <w:tcW w:w="100" w:type="dxa"/>
            <w:vAlign w:val="bottom"/>
            <w:tcBorders>
              <w:bottom w:val="single" w:sz="8" w:color="D9D9D9"/>
            </w:tcBorders>
            <w:shd w:val="clear" w:color="auto" w:fill="D9D9D9"/>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F37F00"/>
            </w:tcBorders>
          </w:tcPr>
          <w:p>
            <w:pPr>
              <w:spacing w:after="0"/>
              <w:rPr>
                <w:sz w:val="14"/>
                <w:szCs w:val="14"/>
                <w:color w:val="auto"/>
              </w:rPr>
            </w:pPr>
          </w:p>
        </w:tc>
        <w:tc>
          <w:tcPr>
            <w:tcW w:w="440" w:type="dxa"/>
            <w:vAlign w:val="bottom"/>
            <w:tcBorders>
              <w:bottom w:val="single" w:sz="8" w:color="F37F00"/>
            </w:tcBorders>
          </w:tcPr>
          <w:p>
            <w:pPr>
              <w:spacing w:after="0"/>
              <w:rPr>
                <w:sz w:val="14"/>
                <w:szCs w:val="14"/>
                <w:color w:val="auto"/>
              </w:rPr>
            </w:pPr>
          </w:p>
        </w:tc>
        <w:tc>
          <w:tcPr>
            <w:tcW w:w="7300" w:type="dxa"/>
            <w:vAlign w:val="bottom"/>
            <w:tcBorders>
              <w:bottom w:val="single" w:sz="8" w:color="F37F00"/>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r>
      <w:tr>
        <w:trPr>
          <w:trHeight w:val="275"/>
        </w:trPr>
        <w:tc>
          <w:tcPr>
            <w:tcW w:w="10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8"/>
                <w:szCs w:val="18"/>
                <w:b w:val="1"/>
                <w:bCs w:val="1"/>
                <w:color w:val="F37F00"/>
              </w:rPr>
              <w:t>Annual Meeting</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Conduct in-season outreach to discuss ballot items, as needed.</w:t>
            </w:r>
          </w:p>
        </w:tc>
        <w:tc>
          <w:tcPr>
            <w:tcW w:w="140" w:type="dxa"/>
            <w:vAlign w:val="bottom"/>
            <w:shd w:val="clear" w:color="auto" w:fill="D9D9D9"/>
          </w:tcPr>
          <w:p>
            <w:pPr>
              <w:spacing w:after="0"/>
              <w:rPr>
                <w:sz w:val="23"/>
                <w:szCs w:val="23"/>
                <w:color w:val="auto"/>
              </w:rPr>
            </w:pPr>
          </w:p>
        </w:tc>
      </w:tr>
      <w:tr>
        <w:trPr>
          <w:trHeight w:val="262"/>
        </w:trPr>
        <w:tc>
          <w:tcPr>
            <w:tcW w:w="100" w:type="dxa"/>
            <w:vAlign w:val="bottom"/>
            <w:shd w:val="clear" w:color="auto" w:fill="D9D9D9"/>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Solicit feedback on new or revised governance practices and disclosures.</w:t>
            </w:r>
          </w:p>
        </w:tc>
        <w:tc>
          <w:tcPr>
            <w:tcW w:w="140" w:type="dxa"/>
            <w:vAlign w:val="bottom"/>
            <w:shd w:val="clear" w:color="auto" w:fill="D9D9D9"/>
          </w:tcPr>
          <w:p>
            <w:pPr>
              <w:spacing w:after="0"/>
              <w:rPr>
                <w:sz w:val="22"/>
                <w:szCs w:val="22"/>
                <w:color w:val="auto"/>
              </w:rPr>
            </w:pPr>
          </w:p>
        </w:tc>
      </w:tr>
      <w:tr>
        <w:trPr>
          <w:trHeight w:val="104"/>
        </w:trPr>
        <w:tc>
          <w:tcPr>
            <w:tcW w:w="100" w:type="dxa"/>
            <w:vAlign w:val="bottom"/>
            <w:tcBorders>
              <w:bottom w:val="single" w:sz="8" w:color="D9D9D9"/>
            </w:tcBorders>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bottom w:val="single" w:sz="8" w:color="F37F00"/>
            </w:tcBorders>
          </w:tcPr>
          <w:p>
            <w:pPr>
              <w:spacing w:after="0"/>
              <w:rPr>
                <w:sz w:val="9"/>
                <w:szCs w:val="9"/>
                <w:color w:val="auto"/>
              </w:rPr>
            </w:pPr>
          </w:p>
        </w:tc>
        <w:tc>
          <w:tcPr>
            <w:tcW w:w="440" w:type="dxa"/>
            <w:vAlign w:val="bottom"/>
            <w:tcBorders>
              <w:bottom w:val="single" w:sz="8" w:color="F37F00"/>
            </w:tcBorders>
          </w:tcPr>
          <w:p>
            <w:pPr>
              <w:spacing w:after="0"/>
              <w:rPr>
                <w:sz w:val="9"/>
                <w:szCs w:val="9"/>
                <w:color w:val="auto"/>
              </w:rPr>
            </w:pPr>
          </w:p>
        </w:tc>
        <w:tc>
          <w:tcPr>
            <w:tcW w:w="7300" w:type="dxa"/>
            <w:vAlign w:val="bottom"/>
            <w:tcBorders>
              <w:bottom w:val="single" w:sz="8" w:color="F37F0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D9D9D9"/>
            </w:tcBorders>
            <w:shd w:val="clear" w:color="auto" w:fill="D9D9D9"/>
          </w:tcPr>
          <w:p>
            <w:pPr>
              <w:spacing w:after="0"/>
              <w:rPr>
                <w:sz w:val="9"/>
                <w:szCs w:val="9"/>
                <w:color w:val="auto"/>
              </w:rPr>
            </w:pPr>
          </w:p>
        </w:tc>
      </w:tr>
      <w:tr>
        <w:trPr>
          <w:trHeight w:val="276"/>
        </w:trPr>
        <w:tc>
          <w:tcPr>
            <w:tcW w:w="10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8"/>
                <w:szCs w:val="18"/>
                <w:b w:val="1"/>
                <w:bCs w:val="1"/>
                <w:color w:val="F37F00"/>
              </w:rPr>
              <w:t>Post-Meeting</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Review annual meeting voting results.</w:t>
            </w:r>
          </w:p>
        </w:tc>
        <w:tc>
          <w:tcPr>
            <w:tcW w:w="140" w:type="dxa"/>
            <w:vAlign w:val="bottom"/>
            <w:shd w:val="clear" w:color="auto" w:fill="D9D9D9"/>
          </w:tcPr>
          <w:p>
            <w:pPr>
              <w:spacing w:after="0"/>
              <w:rPr>
                <w:sz w:val="23"/>
                <w:szCs w:val="23"/>
                <w:color w:val="auto"/>
              </w:rPr>
            </w:pPr>
          </w:p>
        </w:tc>
      </w:tr>
      <w:tr>
        <w:trPr>
          <w:trHeight w:val="278"/>
        </w:trPr>
        <w:tc>
          <w:tcPr>
            <w:tcW w:w="10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20"/>
                <w:szCs w:val="20"/>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Discuss feedback from in-season engagement.</w:t>
            </w:r>
          </w:p>
        </w:tc>
        <w:tc>
          <w:tcPr>
            <w:tcW w:w="140" w:type="dxa"/>
            <w:vAlign w:val="bottom"/>
            <w:shd w:val="clear" w:color="auto" w:fill="D9D9D9"/>
          </w:tcPr>
          <w:p>
            <w:pPr>
              <w:spacing w:after="0"/>
              <w:rPr>
                <w:sz w:val="24"/>
                <w:szCs w:val="24"/>
                <w:color w:val="auto"/>
              </w:rPr>
            </w:pPr>
          </w:p>
        </w:tc>
      </w:tr>
      <w:tr>
        <w:trPr>
          <w:trHeight w:val="283"/>
        </w:trPr>
        <w:tc>
          <w:tcPr>
            <w:tcW w:w="10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20"/>
                <w:szCs w:val="20"/>
                <w:color w:val="F37F00"/>
              </w:rPr>
              <w:t>●</w:t>
            </w:r>
          </w:p>
        </w:tc>
        <w:tc>
          <w:tcPr>
            <w:tcW w:w="7440" w:type="dxa"/>
            <w:vAlign w:val="bottom"/>
            <w:gridSpan w:val="2"/>
          </w:tcPr>
          <w:p>
            <w:pPr>
              <w:ind w:left="120"/>
              <w:spacing w:after="0"/>
              <w:rPr>
                <w:sz w:val="20"/>
                <w:szCs w:val="20"/>
                <w:color w:val="auto"/>
              </w:rPr>
            </w:pPr>
            <w:r>
              <w:rPr>
                <w:rFonts w:ascii="Arial" w:cs="Arial" w:eastAsia="Arial" w:hAnsi="Arial"/>
                <w:sz w:val="18"/>
                <w:szCs w:val="18"/>
                <w:color w:val="202124"/>
              </w:rPr>
              <w:t>Prioritize potential governance and engagement initiatives for the future.</w:t>
            </w:r>
          </w:p>
        </w:tc>
        <w:tc>
          <w:tcPr>
            <w:tcW w:w="140" w:type="dxa"/>
            <w:vAlign w:val="bottom"/>
            <w:shd w:val="clear" w:color="auto" w:fill="D9D9D9"/>
          </w:tcPr>
          <w:p>
            <w:pPr>
              <w:spacing w:after="0"/>
              <w:rPr>
                <w:sz w:val="24"/>
                <w:szCs w:val="24"/>
                <w:color w:val="auto"/>
              </w:rPr>
            </w:pPr>
          </w:p>
        </w:tc>
      </w:tr>
      <w:tr>
        <w:trPr>
          <w:trHeight w:val="115"/>
        </w:trPr>
        <w:tc>
          <w:tcPr>
            <w:tcW w:w="100" w:type="dxa"/>
            <w:vAlign w:val="bottom"/>
            <w:tcBorders>
              <w:bottom w:val="single" w:sz="8" w:color="D9D9D9"/>
            </w:tcBorders>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bottom w:val="single" w:sz="8" w:color="F37F00"/>
            </w:tcBorders>
          </w:tcPr>
          <w:p>
            <w:pPr>
              <w:spacing w:after="0"/>
              <w:rPr>
                <w:sz w:val="10"/>
                <w:szCs w:val="10"/>
                <w:color w:val="auto"/>
              </w:rPr>
            </w:pPr>
          </w:p>
        </w:tc>
        <w:tc>
          <w:tcPr>
            <w:tcW w:w="440" w:type="dxa"/>
            <w:vAlign w:val="bottom"/>
            <w:tcBorders>
              <w:bottom w:val="single" w:sz="8" w:color="F37F00"/>
            </w:tcBorders>
          </w:tcPr>
          <w:p>
            <w:pPr>
              <w:spacing w:after="0"/>
              <w:rPr>
                <w:sz w:val="10"/>
                <w:szCs w:val="10"/>
                <w:color w:val="auto"/>
              </w:rPr>
            </w:pPr>
          </w:p>
        </w:tc>
        <w:tc>
          <w:tcPr>
            <w:tcW w:w="7300" w:type="dxa"/>
            <w:vAlign w:val="bottom"/>
            <w:tcBorders>
              <w:bottom w:val="single" w:sz="8" w:color="F37F0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D9D9D9"/>
            </w:tcBorders>
            <w:shd w:val="clear" w:color="auto" w:fill="D9D9D9"/>
          </w:tcPr>
          <w:p>
            <w:pPr>
              <w:spacing w:after="0"/>
              <w:rPr>
                <w:sz w:val="10"/>
                <w:szCs w:val="10"/>
                <w:color w:val="auto"/>
              </w:rPr>
            </w:pPr>
          </w:p>
        </w:tc>
      </w:tr>
      <w:tr>
        <w:trPr>
          <w:trHeight w:val="245"/>
        </w:trPr>
        <w:tc>
          <w:tcPr>
            <w:tcW w:w="100" w:type="dxa"/>
            <w:vAlign w:val="bottom"/>
            <w:shd w:val="clear" w:color="auto" w:fill="D9D9D9"/>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ind w:left="20"/>
              <w:spacing w:after="0"/>
              <w:rPr>
                <w:sz w:val="20"/>
                <w:szCs w:val="20"/>
                <w:color w:val="auto"/>
              </w:rPr>
            </w:pPr>
            <w:r>
              <w:rPr>
                <w:rFonts w:ascii="Arial" w:cs="Arial" w:eastAsia="Arial" w:hAnsi="Arial"/>
                <w:sz w:val="18"/>
                <w:szCs w:val="18"/>
                <w:b w:val="1"/>
                <w:bCs w:val="1"/>
                <w:color w:val="F37F00"/>
              </w:rPr>
              <w:t>Year-Round</w:t>
            </w:r>
          </w:p>
        </w:tc>
        <w:tc>
          <w:tcPr>
            <w:tcW w:w="440" w:type="dxa"/>
            <w:vAlign w:val="bottom"/>
          </w:tcPr>
          <w:p>
            <w:pPr>
              <w:ind w:left="220"/>
              <w:spacing w:after="0"/>
              <w:rPr>
                <w:sz w:val="20"/>
                <w:szCs w:val="20"/>
                <w:color w:val="auto"/>
              </w:rPr>
            </w:pPr>
            <w:r>
              <w:rPr>
                <w:rFonts w:ascii="Times New Roman" w:cs="Times New Roman" w:eastAsia="Times New Roman" w:hAnsi="Times New Roman"/>
                <w:sz w:val="20"/>
                <w:szCs w:val="20"/>
                <w:color w:val="F37F00"/>
              </w:rPr>
              <w:t>●</w:t>
            </w:r>
          </w:p>
        </w:tc>
        <w:tc>
          <w:tcPr>
            <w:tcW w:w="7440" w:type="dxa"/>
            <w:vAlign w:val="bottom"/>
            <w:gridSpan w:val="2"/>
          </w:tcPr>
          <w:p>
            <w:pPr>
              <w:ind w:left="100"/>
              <w:spacing w:after="0"/>
              <w:rPr>
                <w:sz w:val="20"/>
                <w:szCs w:val="20"/>
                <w:color w:val="auto"/>
              </w:rPr>
            </w:pPr>
            <w:r>
              <w:rPr>
                <w:rFonts w:ascii="Arial" w:cs="Arial" w:eastAsia="Arial" w:hAnsi="Arial"/>
                <w:sz w:val="18"/>
                <w:szCs w:val="18"/>
                <w:color w:val="202124"/>
              </w:rPr>
              <w:t>Discuss with sell-side analysts and institutional equity and bond investors in connection</w:t>
            </w:r>
          </w:p>
        </w:tc>
        <w:tc>
          <w:tcPr>
            <w:tcW w:w="140" w:type="dxa"/>
            <w:vAlign w:val="bottom"/>
            <w:shd w:val="clear" w:color="auto" w:fill="D9D9D9"/>
          </w:tcPr>
          <w:p>
            <w:pPr>
              <w:spacing w:after="0"/>
              <w:rPr>
                <w:sz w:val="21"/>
                <w:szCs w:val="21"/>
                <w:color w:val="auto"/>
              </w:rPr>
            </w:pPr>
          </w:p>
        </w:tc>
      </w:tr>
      <w:tr>
        <w:trPr>
          <w:trHeight w:val="239"/>
        </w:trPr>
        <w:tc>
          <w:tcPr>
            <w:tcW w:w="10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202124"/>
              </w:rPr>
              <w:t>with quarterly earnings releases, investor conferences or one-on-one meetings.</w:t>
            </w:r>
          </w:p>
        </w:tc>
        <w:tc>
          <w:tcPr>
            <w:tcW w:w="140" w:type="dxa"/>
            <w:vAlign w:val="bottom"/>
            <w:shd w:val="clear" w:color="auto" w:fill="D9D9D9"/>
          </w:tcPr>
          <w:p>
            <w:pPr>
              <w:spacing w:after="0"/>
              <w:rPr>
                <w:sz w:val="20"/>
                <w:szCs w:val="20"/>
                <w:color w:val="auto"/>
              </w:rPr>
            </w:pPr>
          </w:p>
        </w:tc>
      </w:tr>
      <w:tr>
        <w:trPr>
          <w:trHeight w:val="104"/>
        </w:trPr>
        <w:tc>
          <w:tcPr>
            <w:tcW w:w="100" w:type="dxa"/>
            <w:vAlign w:val="bottom"/>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shd w:val="clear" w:color="auto" w:fill="D9D9D9"/>
          </w:tcPr>
          <w:p>
            <w:pPr>
              <w:spacing w:after="0"/>
              <w:rPr>
                <w:sz w:val="9"/>
                <w:szCs w:val="9"/>
                <w:color w:val="auto"/>
              </w:rPr>
            </w:pPr>
          </w:p>
        </w:tc>
      </w:tr>
      <w:tr>
        <w:trPr>
          <w:trHeight w:val="68"/>
        </w:trPr>
        <w:tc>
          <w:tcPr>
            <w:tcW w:w="10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1580" w:type="dxa"/>
            <w:vAlign w:val="bottom"/>
            <w:shd w:val="clear" w:color="auto" w:fill="D9D9D9"/>
          </w:tcPr>
          <w:p>
            <w:pPr>
              <w:spacing w:after="0"/>
              <w:rPr>
                <w:sz w:val="5"/>
                <w:szCs w:val="5"/>
                <w:color w:val="auto"/>
              </w:rPr>
            </w:pPr>
          </w:p>
        </w:tc>
        <w:tc>
          <w:tcPr>
            <w:tcW w:w="440" w:type="dxa"/>
            <w:vAlign w:val="bottom"/>
            <w:shd w:val="clear" w:color="auto" w:fill="D9D9D9"/>
          </w:tcPr>
          <w:p>
            <w:pPr>
              <w:spacing w:after="0"/>
              <w:rPr>
                <w:sz w:val="5"/>
                <w:szCs w:val="5"/>
                <w:color w:val="auto"/>
              </w:rPr>
            </w:pPr>
          </w:p>
        </w:tc>
        <w:tc>
          <w:tcPr>
            <w:tcW w:w="730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760" w:type="dxa"/>
        <w:tblCellMar>
          <w:top w:w="0" w:type="dxa"/>
          <w:left w:w="0" w:type="dxa"/>
          <w:bottom w:w="0" w:type="dxa"/>
          <w:right w:w="0" w:type="dxa"/>
        </w:tblCellMar>
      </w:tblPr>
      <w:tr>
        <w:trPr>
          <w:trHeight w:val="247"/>
        </w:trPr>
        <w:tc>
          <w:tcPr>
            <w:tcW w:w="1280" w:type="dxa"/>
            <w:vAlign w:val="bottom"/>
          </w:tcPr>
          <w:p>
            <w:pPr>
              <w:spacing w:after="0"/>
              <w:rPr>
                <w:sz w:val="21"/>
                <w:szCs w:val="21"/>
                <w:color w:val="auto"/>
              </w:rPr>
            </w:pPr>
          </w:p>
        </w:tc>
        <w:tc>
          <w:tcPr>
            <w:tcW w:w="8040" w:type="dxa"/>
            <w:vAlign w:val="bottom"/>
          </w:tcPr>
          <w:p>
            <w:pPr>
              <w:ind w:left="2620"/>
              <w:spacing w:after="0"/>
              <w:rPr>
                <w:sz w:val="20"/>
                <w:szCs w:val="20"/>
                <w:color w:val="auto"/>
              </w:rPr>
            </w:pPr>
            <w:r>
              <w:rPr>
                <w:rFonts w:ascii="Arial" w:cs="Arial" w:eastAsia="Arial" w:hAnsi="Arial"/>
                <w:sz w:val="18"/>
                <w:szCs w:val="18"/>
                <w:b w:val="1"/>
                <w:bCs w:val="1"/>
                <w:color w:val="202124"/>
              </w:rPr>
              <w:t>RESPONSE PLAN</w:t>
            </w:r>
          </w:p>
        </w:tc>
      </w:tr>
      <w:tr>
        <w:trPr>
          <w:trHeight w:val="83"/>
        </w:trPr>
        <w:tc>
          <w:tcPr>
            <w:tcW w:w="1280" w:type="dxa"/>
            <w:vAlign w:val="bottom"/>
            <w:tcBorders>
              <w:bottom w:val="single" w:sz="8" w:color="F37F00"/>
            </w:tcBorders>
          </w:tcPr>
          <w:p>
            <w:pPr>
              <w:spacing w:after="0"/>
              <w:rPr>
                <w:sz w:val="7"/>
                <w:szCs w:val="7"/>
                <w:color w:val="auto"/>
              </w:rPr>
            </w:pPr>
          </w:p>
        </w:tc>
        <w:tc>
          <w:tcPr>
            <w:tcW w:w="8040" w:type="dxa"/>
            <w:vAlign w:val="bottom"/>
            <w:tcBorders>
              <w:bottom w:val="single" w:sz="8" w:color="F37F00"/>
            </w:tcBorders>
          </w:tcPr>
          <w:p>
            <w:pPr>
              <w:spacing w:after="0"/>
              <w:rPr>
                <w:sz w:val="7"/>
                <w:szCs w:val="7"/>
                <w:color w:val="auto"/>
              </w:rPr>
            </w:pPr>
          </w:p>
        </w:tc>
      </w:tr>
      <w:tr>
        <w:trPr>
          <w:trHeight w:val="195"/>
        </w:trPr>
        <w:tc>
          <w:tcPr>
            <w:tcW w:w="1280" w:type="dxa"/>
            <w:vAlign w:val="bottom"/>
          </w:tcPr>
          <w:p>
            <w:pPr>
              <w:ind w:left="20"/>
              <w:spacing w:after="0" w:line="195" w:lineRule="exact"/>
              <w:rPr>
                <w:sz w:val="20"/>
                <w:szCs w:val="20"/>
                <w:color w:val="auto"/>
              </w:rPr>
            </w:pPr>
            <w:r>
              <w:rPr>
                <w:rFonts w:ascii="Arial" w:cs="Arial" w:eastAsia="Arial" w:hAnsi="Arial"/>
                <w:sz w:val="18"/>
                <w:szCs w:val="18"/>
                <w:b w:val="1"/>
                <w:bCs w:val="1"/>
                <w:color w:val="F37F00"/>
              </w:rPr>
              <w:t>Review</w:t>
            </w:r>
          </w:p>
        </w:tc>
        <w:tc>
          <w:tcPr>
            <w:tcW w:w="8040" w:type="dxa"/>
            <w:vAlign w:val="bottom"/>
          </w:tcPr>
          <w:p>
            <w:pPr>
              <w:ind w:left="520"/>
              <w:spacing w:after="0" w:line="195" w:lineRule="exact"/>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Share feedback and insights, both complimentary and constructive, with management and</w:t>
            </w:r>
          </w:p>
        </w:tc>
      </w:tr>
      <w:tr>
        <w:trPr>
          <w:trHeight w:val="239"/>
        </w:trPr>
        <w:tc>
          <w:tcPr>
            <w:tcW w:w="1280" w:type="dxa"/>
            <w:vAlign w:val="bottom"/>
          </w:tcPr>
          <w:p>
            <w:pPr>
              <w:spacing w:after="0"/>
              <w:rPr>
                <w:sz w:val="20"/>
                <w:szCs w:val="20"/>
                <w:color w:val="auto"/>
              </w:rPr>
            </w:pPr>
          </w:p>
        </w:tc>
        <w:tc>
          <w:tcPr>
            <w:tcW w:w="8040" w:type="dxa"/>
            <w:vAlign w:val="bottom"/>
          </w:tcPr>
          <w:p>
            <w:pPr>
              <w:ind w:left="840"/>
              <w:spacing w:after="0"/>
              <w:rPr>
                <w:sz w:val="20"/>
                <w:szCs w:val="20"/>
                <w:color w:val="auto"/>
              </w:rPr>
            </w:pPr>
            <w:r>
              <w:rPr>
                <w:rFonts w:ascii="Arial" w:cs="Arial" w:eastAsia="Arial" w:hAnsi="Arial"/>
                <w:sz w:val="18"/>
                <w:szCs w:val="18"/>
                <w:color w:val="202124"/>
              </w:rPr>
              <w:t>the relevant Committee or full Board for consideration and discussion.</w:t>
            </w:r>
          </w:p>
        </w:tc>
      </w:tr>
      <w:tr>
        <w:trPr>
          <w:trHeight w:val="100"/>
        </w:trPr>
        <w:tc>
          <w:tcPr>
            <w:tcW w:w="1280" w:type="dxa"/>
            <w:vAlign w:val="bottom"/>
            <w:tcBorders>
              <w:bottom w:val="single" w:sz="8" w:color="F37F00"/>
            </w:tcBorders>
          </w:tcPr>
          <w:p>
            <w:pPr>
              <w:spacing w:after="0"/>
              <w:rPr>
                <w:sz w:val="8"/>
                <w:szCs w:val="8"/>
                <w:color w:val="auto"/>
              </w:rPr>
            </w:pPr>
          </w:p>
        </w:tc>
        <w:tc>
          <w:tcPr>
            <w:tcW w:w="8040" w:type="dxa"/>
            <w:vAlign w:val="bottom"/>
            <w:tcBorders>
              <w:bottom w:val="single" w:sz="8" w:color="F37F00"/>
            </w:tcBorders>
          </w:tcPr>
          <w:p>
            <w:pPr>
              <w:spacing w:after="0"/>
              <w:rPr>
                <w:sz w:val="8"/>
                <w:szCs w:val="8"/>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b w:val="1"/>
                <w:bCs w:val="1"/>
                <w:color w:val="F37F00"/>
              </w:rPr>
              <w:t>Evaluate</w:t>
            </w: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Evaluate potential changes to existing practices or policies to determine what action plan</w:t>
            </w:r>
          </w:p>
        </w:tc>
      </w:tr>
      <w:tr>
        <w:trPr>
          <w:trHeight w:val="224"/>
        </w:trPr>
        <w:tc>
          <w:tcPr>
            <w:tcW w:w="1280" w:type="dxa"/>
            <w:vAlign w:val="bottom"/>
          </w:tcPr>
          <w:p>
            <w:pPr>
              <w:spacing w:after="0"/>
              <w:rPr>
                <w:sz w:val="19"/>
                <w:szCs w:val="19"/>
                <w:color w:val="auto"/>
              </w:rPr>
            </w:pPr>
          </w:p>
        </w:tc>
        <w:tc>
          <w:tcPr>
            <w:tcW w:w="8040" w:type="dxa"/>
            <w:vAlign w:val="bottom"/>
          </w:tcPr>
          <w:p>
            <w:pPr>
              <w:ind w:left="840"/>
              <w:spacing w:after="0"/>
              <w:rPr>
                <w:sz w:val="20"/>
                <w:szCs w:val="20"/>
                <w:color w:val="auto"/>
              </w:rPr>
            </w:pPr>
            <w:r>
              <w:rPr>
                <w:rFonts w:ascii="Arial" w:cs="Arial" w:eastAsia="Arial" w:hAnsi="Arial"/>
                <w:sz w:val="18"/>
                <w:szCs w:val="18"/>
                <w:color w:val="202124"/>
              </w:rPr>
              <w:t>is most appropriate for AutoZone.</w:t>
            </w:r>
          </w:p>
        </w:tc>
      </w:tr>
      <w:tr>
        <w:trPr>
          <w:trHeight w:val="203"/>
        </w:trPr>
        <w:tc>
          <w:tcPr>
            <w:tcW w:w="1280" w:type="dxa"/>
            <w:vAlign w:val="bottom"/>
          </w:tcPr>
          <w:p>
            <w:pPr>
              <w:spacing w:after="0"/>
              <w:rPr>
                <w:sz w:val="17"/>
                <w:szCs w:val="17"/>
                <w:color w:val="auto"/>
              </w:rPr>
            </w:pPr>
          </w:p>
        </w:tc>
        <w:tc>
          <w:tcPr>
            <w:tcW w:w="804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Where appropriate, collect additional input from senior leadership or independent third</w:t>
            </w:r>
          </w:p>
        </w:tc>
      </w:tr>
      <w:tr>
        <w:trPr>
          <w:trHeight w:val="239"/>
        </w:trPr>
        <w:tc>
          <w:tcPr>
            <w:tcW w:w="1280" w:type="dxa"/>
            <w:vAlign w:val="bottom"/>
          </w:tcPr>
          <w:p>
            <w:pPr>
              <w:spacing w:after="0"/>
              <w:rPr>
                <w:sz w:val="20"/>
                <w:szCs w:val="20"/>
                <w:color w:val="auto"/>
              </w:rPr>
            </w:pPr>
          </w:p>
        </w:tc>
        <w:tc>
          <w:tcPr>
            <w:tcW w:w="8040" w:type="dxa"/>
            <w:vAlign w:val="bottom"/>
          </w:tcPr>
          <w:p>
            <w:pPr>
              <w:ind w:left="840"/>
              <w:spacing w:after="0"/>
              <w:rPr>
                <w:sz w:val="20"/>
                <w:szCs w:val="20"/>
                <w:color w:val="auto"/>
              </w:rPr>
            </w:pPr>
            <w:r>
              <w:rPr>
                <w:rFonts w:ascii="Arial" w:cs="Arial" w:eastAsia="Arial" w:hAnsi="Arial"/>
                <w:sz w:val="18"/>
                <w:szCs w:val="18"/>
                <w:color w:val="202124"/>
              </w:rPr>
              <w:t>parties to better understand issues, risks and opportunities.</w:t>
            </w:r>
          </w:p>
        </w:tc>
      </w:tr>
    </w:tbl>
    <w:p>
      <w:pPr>
        <w:ind w:left="780"/>
        <w:spacing w:after="0"/>
        <w:tabs>
          <w:tab w:leader="none" w:pos="2540" w:val="left"/>
          <w:tab w:leader="none" w:pos="2860" w:val="left"/>
        </w:tabs>
        <w:rPr>
          <w:sz w:val="20"/>
          <w:szCs w:val="20"/>
          <w:color w:val="auto"/>
        </w:rPr>
      </w:pPr>
      <w:r>
        <w:rPr>
          <w:rFonts w:ascii="Arial" w:cs="Arial" w:eastAsia="Arial" w:hAnsi="Arial"/>
          <w:sz w:val="30"/>
          <w:szCs w:val="30"/>
          <w:b w:val="1"/>
          <w:bCs w:val="1"/>
          <w:color w:val="F37F00"/>
          <w:vertAlign w:val="subscript"/>
        </w:rPr>
        <w:t>Respond</w:t>
      </w:r>
      <w:r>
        <w:rPr>
          <w:sz w:val="20"/>
          <w:szCs w:val="20"/>
          <w:color w:val="auto"/>
        </w:rPr>
        <w:tab/>
      </w:r>
      <w:r>
        <w:rPr>
          <w:rFonts w:ascii="Times New Roman" w:cs="Times New Roman" w:eastAsia="Times New Roman" w:hAnsi="Times New Roman"/>
          <w:sz w:val="17"/>
          <w:szCs w:val="17"/>
          <w:color w:val="F37F00"/>
        </w:rPr>
        <w:t>●</w:t>
      </w:r>
      <w:r>
        <w:rPr>
          <w:sz w:val="20"/>
          <w:szCs w:val="20"/>
          <w:color w:val="auto"/>
        </w:rPr>
        <w:tab/>
      </w:r>
      <w:r>
        <w:rPr>
          <w:rFonts w:ascii="Arial" w:cs="Arial" w:eastAsia="Arial" w:hAnsi="Arial"/>
          <w:sz w:val="18"/>
          <w:szCs w:val="18"/>
          <w:color w:val="202124"/>
        </w:rPr>
        <w:t>Implement governance changes, disclosure enhancements or other actions, If warranted.</w:t>
      </w:r>
    </w:p>
    <w:p>
      <w:pPr>
        <w:spacing w:after="0" w:line="234" w:lineRule="exact"/>
        <w:rPr>
          <w:sz w:val="20"/>
          <w:szCs w:val="20"/>
          <w:color w:val="auto"/>
        </w:rPr>
      </w:pPr>
    </w:p>
    <w:p>
      <w:pPr>
        <w:ind w:left="2880" w:right="700" w:hanging="324"/>
        <w:spacing w:after="0" w:line="268" w:lineRule="auto"/>
        <w:tabs>
          <w:tab w:leader="none" w:pos="2880" w:val="left"/>
        </w:tabs>
        <w:numPr>
          <w:ilvl w:val="0"/>
          <w:numId w:val="23"/>
        </w:numPr>
        <w:rPr>
          <w:rFonts w:ascii="Times New Roman" w:cs="Times New Roman" w:eastAsia="Times New Roman" w:hAnsi="Times New Roman"/>
          <w:sz w:val="19"/>
          <w:szCs w:val="19"/>
          <w:color w:val="F37F00"/>
        </w:rPr>
      </w:pPr>
      <w:r>
        <w:rPr>
          <w:rFonts w:ascii="Arial" w:cs="Arial" w:eastAsia="Arial" w:hAnsi="Arial"/>
          <w:sz w:val="17"/>
          <w:szCs w:val="17"/>
          <w:color w:val="202124"/>
        </w:rPr>
        <w:t>Discuss responsive actions in subsequent Proxy Statement, Corporate Responsibility Report, or other public communications, with rationale and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21</w:t>
            </w:r>
          </w:p>
        </w:tc>
      </w:tr>
    </w:tbl>
    <w:p>
      <w:pPr>
        <w:sectPr>
          <w:pgSz w:w="11900" w:h="16838" w:orient="portrait"/>
          <w:cols w:equalWidth="0" w:num="1">
            <w:col w:w="10360"/>
          </w:cols>
          <w:pgMar w:left="440" w:top="106" w:right="1099" w:bottom="1440" w:gutter="0" w:footer="0" w:header="0"/>
        </w:sectPr>
      </w:pPr>
    </w:p>
    <w:bookmarkStart w:id="24" w:name="page25"/>
    <w:bookmarkEnd w:id="2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40"/>
        <w:spacing w:after="0" w:line="239" w:lineRule="auto"/>
        <w:rPr>
          <w:sz w:val="20"/>
          <w:szCs w:val="20"/>
          <w:color w:val="auto"/>
        </w:rPr>
      </w:pPr>
      <w:r>
        <w:rPr>
          <w:rFonts w:ascii="Arial" w:cs="Arial" w:eastAsia="Arial" w:hAnsi="Arial"/>
          <w:sz w:val="18"/>
          <w:szCs w:val="18"/>
          <w:b w:val="1"/>
          <w:bCs w:val="1"/>
          <w:color w:val="202124"/>
        </w:rPr>
        <w:t xml:space="preserve">Engagement Framework. </w:t>
      </w:r>
      <w:r>
        <w:rPr>
          <w:rFonts w:ascii="Arial" w:cs="Arial" w:eastAsia="Arial" w:hAnsi="Arial"/>
          <w:sz w:val="18"/>
          <w:szCs w:val="18"/>
          <w:color w:val="202124"/>
        </w:rPr>
        <w:t>Our engagement program has evolved over the years, consistent with the expectations of our</w:t>
      </w:r>
      <w:r>
        <w:rPr>
          <w:rFonts w:ascii="Arial" w:cs="Arial" w:eastAsia="Arial" w:hAnsi="Arial"/>
          <w:sz w:val="18"/>
          <w:szCs w:val="18"/>
          <w:b w:val="1"/>
          <w:bCs w:val="1"/>
          <w:color w:val="202124"/>
        </w:rPr>
        <w:t xml:space="preserve"> </w:t>
      </w:r>
      <w:r>
        <w:rPr>
          <w:rFonts w:ascii="Arial" w:cs="Arial" w:eastAsia="Arial" w:hAnsi="Arial"/>
          <w:sz w:val="18"/>
          <w:szCs w:val="18"/>
          <w:color w:val="202124"/>
        </w:rPr>
        <w:t>investors. Historically, we have taken a more organic approach to shareholder engagement, primarily focused on financial performance and long-term strategy. In recent years, we invited shareholders to discuss governance or corporate responsibility topics with us, with the majority of these calls occurring “off-season” or not in connection with the annual meeting of shareholders. Today, we have a more intentional and proactive approach to shareholder engagement, in which we both invite and seek feedback and perspectives on a variety of topics during the year. We believe these various engagement efforts, whether they are part of a broad-based discussion or the result of a targeted outreach effort we have initiated, are invaluable as they allow us to better understand the priorities, perspectives and suggestions or concerns of our shareholders, strengthen our relationships and make more informed decisions for their benefit.</w:t>
      </w:r>
    </w:p>
    <w:p>
      <w:pPr>
        <w:spacing w:after="0" w:line="170" w:lineRule="exact"/>
        <w:rPr>
          <w:sz w:val="20"/>
          <w:szCs w:val="20"/>
          <w:color w:val="auto"/>
        </w:rPr>
      </w:pPr>
    </w:p>
    <w:p>
      <w:pPr>
        <w:ind w:left="640" w:right="140"/>
        <w:spacing w:after="0" w:line="271" w:lineRule="auto"/>
        <w:rPr>
          <w:sz w:val="20"/>
          <w:szCs w:val="20"/>
          <w:color w:val="auto"/>
        </w:rPr>
      </w:pPr>
      <w:r>
        <w:rPr>
          <w:rFonts w:ascii="Arial" w:cs="Arial" w:eastAsia="Arial" w:hAnsi="Arial"/>
          <w:sz w:val="18"/>
          <w:szCs w:val="18"/>
          <w:b w:val="1"/>
          <w:bCs w:val="1"/>
          <w:color w:val="202124"/>
        </w:rPr>
        <w:t xml:space="preserve">Recent Actions in Response to Shareholder Feedback. </w:t>
      </w:r>
      <w:r>
        <w:rPr>
          <w:rFonts w:ascii="Arial" w:cs="Arial" w:eastAsia="Arial" w:hAnsi="Arial"/>
          <w:sz w:val="18"/>
          <w:szCs w:val="18"/>
          <w:color w:val="202124"/>
        </w:rPr>
        <w:t>Below is a sample of new or revised practices we’ve adopted</w:t>
      </w:r>
      <w:r>
        <w:rPr>
          <w:rFonts w:ascii="Arial" w:cs="Arial" w:eastAsia="Arial" w:hAnsi="Arial"/>
          <w:sz w:val="18"/>
          <w:szCs w:val="18"/>
          <w:b w:val="1"/>
          <w:bCs w:val="1"/>
          <w:color w:val="202124"/>
        </w:rPr>
        <w:t xml:space="preserve"> </w:t>
      </w:r>
      <w:r>
        <w:rPr>
          <w:rFonts w:ascii="Arial" w:cs="Arial" w:eastAsia="Arial" w:hAnsi="Arial"/>
          <w:sz w:val="18"/>
          <w:szCs w:val="18"/>
          <w:color w:val="202124"/>
        </w:rPr>
        <w:t>in direct response to feedback we’ve received from our shareholders.</w:t>
      </w:r>
    </w:p>
    <w:p>
      <w:pPr>
        <w:spacing w:after="0" w:line="46" w:lineRule="exact"/>
        <w:rPr>
          <w:sz w:val="20"/>
          <w:szCs w:val="20"/>
          <w:color w:val="auto"/>
        </w:rPr>
      </w:pPr>
    </w:p>
    <w:p>
      <w:pPr>
        <w:ind w:left="1320" w:right="80" w:hanging="325"/>
        <w:spacing w:after="0" w:line="248"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Revised our </w:t>
      </w:r>
      <w:r>
        <w:rPr>
          <w:rFonts w:ascii="Arial" w:cs="Arial" w:eastAsia="Arial" w:hAnsi="Arial"/>
          <w:sz w:val="18"/>
          <w:szCs w:val="18"/>
          <w:b w:val="1"/>
          <w:bCs w:val="1"/>
          <w:color w:val="F37F00"/>
        </w:rPr>
        <w:t>compensation disclosures</w:t>
      </w:r>
      <w:r>
        <w:rPr>
          <w:rFonts w:ascii="Arial" w:cs="Arial" w:eastAsia="Arial" w:hAnsi="Arial"/>
          <w:sz w:val="18"/>
          <w:szCs w:val="18"/>
          <w:color w:val="202124"/>
        </w:rPr>
        <w:t xml:space="preserve"> to better articulate the program design, key performance metrics, stock ownership guidelines and how the executive compensation program reflects a pay-for-</w:t>
      </w:r>
      <w:r>
        <w:rPr>
          <w:rFonts w:ascii="Arial" w:cs="Arial" w:eastAsia="Arial" w:hAnsi="Arial"/>
          <w:sz w:val="18"/>
          <w:szCs w:val="18"/>
          <w:i w:val="1"/>
          <w:iCs w:val="1"/>
          <w:color w:val="202124"/>
        </w:rPr>
        <w:t>long-term</w:t>
      </w:r>
      <w:r>
        <w:rPr>
          <w:rFonts w:ascii="Arial" w:cs="Arial" w:eastAsia="Arial" w:hAnsi="Arial"/>
          <w:sz w:val="18"/>
          <w:szCs w:val="18"/>
          <w:color w:val="202124"/>
        </w:rPr>
        <w:t>-performance methodology.</w:t>
      </w:r>
    </w:p>
    <w:p>
      <w:pPr>
        <w:spacing w:after="0" w:line="19" w:lineRule="exact"/>
        <w:rPr>
          <w:rFonts w:ascii="MS PGothic" w:cs="MS PGothic" w:eastAsia="MS PGothic" w:hAnsi="MS PGothic"/>
          <w:sz w:val="18"/>
          <w:szCs w:val="18"/>
          <w:color w:val="202124"/>
        </w:rPr>
      </w:pPr>
    </w:p>
    <w:p>
      <w:pPr>
        <w:ind w:left="1320" w:hanging="325"/>
        <w:spacing w:after="0"/>
        <w:tabs>
          <w:tab w:leader="none" w:pos="1320" w:val="left"/>
        </w:tabs>
        <w:numPr>
          <w:ilvl w:val="0"/>
          <w:numId w:val="24"/>
        </w:numPr>
        <w:rPr>
          <w:rFonts w:ascii="MS PGothic" w:cs="MS PGothic" w:eastAsia="MS PGothic" w:hAnsi="MS PGothic"/>
          <w:sz w:val="17"/>
          <w:szCs w:val="17"/>
          <w:color w:val="202124"/>
        </w:rPr>
      </w:pPr>
      <w:r>
        <w:rPr>
          <w:rFonts w:ascii="Arial" w:cs="Arial" w:eastAsia="Arial" w:hAnsi="Arial"/>
          <w:sz w:val="17"/>
          <w:szCs w:val="17"/>
          <w:color w:val="202124"/>
        </w:rPr>
        <w:t xml:space="preserve">Revised certain </w:t>
      </w:r>
      <w:r>
        <w:rPr>
          <w:rFonts w:ascii="Arial" w:cs="Arial" w:eastAsia="Arial" w:hAnsi="Arial"/>
          <w:sz w:val="17"/>
          <w:szCs w:val="17"/>
          <w:b w:val="1"/>
          <w:bCs w:val="1"/>
          <w:color w:val="F37F00"/>
        </w:rPr>
        <w:t>compensation practices</w:t>
      </w:r>
      <w:r>
        <w:rPr>
          <w:rFonts w:ascii="Arial" w:cs="Arial" w:eastAsia="Arial" w:hAnsi="Arial"/>
          <w:sz w:val="17"/>
          <w:szCs w:val="17"/>
          <w:color w:val="202124"/>
        </w:rPr>
        <w:t xml:space="preserve"> as more fully described in the Compensation, Discussion and Analysis.</w:t>
      </w:r>
    </w:p>
    <w:p>
      <w:pPr>
        <w:spacing w:after="0" w:line="74" w:lineRule="exact"/>
        <w:rPr>
          <w:rFonts w:ascii="MS PGothic" w:cs="MS PGothic" w:eastAsia="MS PGothic" w:hAnsi="MS PGothic"/>
          <w:sz w:val="17"/>
          <w:szCs w:val="17"/>
          <w:color w:val="202124"/>
        </w:rPr>
      </w:pPr>
    </w:p>
    <w:p>
      <w:pPr>
        <w:ind w:left="1320" w:right="580" w:hanging="325"/>
        <w:spacing w:after="0" w:line="255"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Included a </w:t>
      </w:r>
      <w:r>
        <w:rPr>
          <w:rFonts w:ascii="Arial" w:cs="Arial" w:eastAsia="Arial" w:hAnsi="Arial"/>
          <w:sz w:val="18"/>
          <w:szCs w:val="18"/>
          <w:b w:val="1"/>
          <w:bCs w:val="1"/>
          <w:color w:val="F37F00"/>
        </w:rPr>
        <w:t>robust Board skillset matrix</w:t>
      </w:r>
      <w:r>
        <w:rPr>
          <w:rFonts w:ascii="Arial" w:cs="Arial" w:eastAsia="Arial" w:hAnsi="Arial"/>
          <w:sz w:val="18"/>
          <w:szCs w:val="18"/>
          <w:color w:val="202124"/>
        </w:rPr>
        <w:t xml:space="preserve"> to better showcase the complementary set of skills and strengths represented on our Board.</w:t>
      </w:r>
    </w:p>
    <w:p>
      <w:pPr>
        <w:spacing w:after="0" w:line="19" w:lineRule="exact"/>
        <w:rPr>
          <w:rFonts w:ascii="MS PGothic" w:cs="MS PGothic" w:eastAsia="MS PGothic" w:hAnsi="MS PGothic"/>
          <w:sz w:val="18"/>
          <w:szCs w:val="18"/>
          <w:color w:val="202124"/>
        </w:rPr>
      </w:pPr>
    </w:p>
    <w:p>
      <w:pPr>
        <w:ind w:left="1320" w:right="600" w:hanging="325"/>
        <w:spacing w:after="0" w:line="255"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Enhanced </w:t>
      </w:r>
      <w:r>
        <w:rPr>
          <w:rFonts w:ascii="Arial" w:cs="Arial" w:eastAsia="Arial" w:hAnsi="Arial"/>
          <w:sz w:val="18"/>
          <w:szCs w:val="18"/>
          <w:b w:val="1"/>
          <w:bCs w:val="1"/>
          <w:color w:val="F37F00"/>
        </w:rPr>
        <w:t>director biographies</w:t>
      </w:r>
      <w:r>
        <w:rPr>
          <w:rFonts w:ascii="Arial" w:cs="Arial" w:eastAsia="Arial" w:hAnsi="Arial"/>
          <w:sz w:val="18"/>
          <w:szCs w:val="18"/>
          <w:color w:val="202124"/>
        </w:rPr>
        <w:t xml:space="preserve"> to convey each nominee’s individual experiences and why each nominee remains a valuable member of the Board.</w:t>
      </w:r>
    </w:p>
    <w:p>
      <w:pPr>
        <w:spacing w:after="0" w:line="19" w:lineRule="exact"/>
        <w:rPr>
          <w:rFonts w:ascii="MS PGothic" w:cs="MS PGothic" w:eastAsia="MS PGothic" w:hAnsi="MS PGothic"/>
          <w:sz w:val="18"/>
          <w:szCs w:val="18"/>
          <w:color w:val="202124"/>
        </w:rPr>
      </w:pPr>
    </w:p>
    <w:p>
      <w:pPr>
        <w:ind w:left="1320" w:right="40" w:hanging="325"/>
        <w:spacing w:after="0" w:line="260"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Added discussion to better explain why we believe our </w:t>
      </w:r>
      <w:r>
        <w:rPr>
          <w:rFonts w:ascii="Arial" w:cs="Arial" w:eastAsia="Arial" w:hAnsi="Arial"/>
          <w:sz w:val="18"/>
          <w:szCs w:val="18"/>
          <w:b w:val="1"/>
          <w:bCs w:val="1"/>
          <w:color w:val="F37F00"/>
        </w:rPr>
        <w:t>independent audit firm</w:t>
      </w:r>
      <w:r>
        <w:rPr>
          <w:rFonts w:ascii="Arial" w:cs="Arial" w:eastAsia="Arial" w:hAnsi="Arial"/>
          <w:sz w:val="18"/>
          <w:szCs w:val="18"/>
          <w:color w:val="202124"/>
        </w:rPr>
        <w:t xml:space="preserve"> continues to be highly effective in the role </w:t>
      </w:r>
      <w:r>
        <w:rPr>
          <w:rFonts w:ascii="Arial" w:cs="Arial" w:eastAsia="Arial" w:hAnsi="Arial"/>
          <w:sz w:val="18"/>
          <w:szCs w:val="18"/>
          <w:b w:val="1"/>
          <w:bCs w:val="1"/>
          <w:color w:val="F37F00"/>
        </w:rPr>
        <w:t>despite lengthy tenure</w:t>
      </w:r>
      <w:r>
        <w:rPr>
          <w:rFonts w:ascii="Arial" w:cs="Arial" w:eastAsia="Arial" w:hAnsi="Arial"/>
          <w:sz w:val="18"/>
          <w:szCs w:val="18"/>
          <w:color w:val="202124"/>
        </w:rPr>
        <w:t>.</w:t>
      </w:r>
    </w:p>
    <w:p>
      <w:pPr>
        <w:spacing w:after="0" w:line="10" w:lineRule="exact"/>
        <w:rPr>
          <w:rFonts w:ascii="MS PGothic" w:cs="MS PGothic" w:eastAsia="MS PGothic" w:hAnsi="MS PGothic"/>
          <w:sz w:val="18"/>
          <w:szCs w:val="18"/>
          <w:color w:val="202124"/>
        </w:rPr>
      </w:pPr>
    </w:p>
    <w:p>
      <w:pPr>
        <w:ind w:left="1320" w:right="300" w:hanging="325"/>
        <w:spacing w:after="0" w:line="255"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Expanded discussion on our </w:t>
      </w:r>
      <w:r>
        <w:rPr>
          <w:rFonts w:ascii="Arial" w:cs="Arial" w:eastAsia="Arial" w:hAnsi="Arial"/>
          <w:sz w:val="18"/>
          <w:szCs w:val="18"/>
          <w:b w:val="1"/>
          <w:bCs w:val="1"/>
          <w:color w:val="F37F00"/>
        </w:rPr>
        <w:t>shareholder engagement program</w:t>
      </w:r>
      <w:r>
        <w:rPr>
          <w:rFonts w:ascii="Arial" w:cs="Arial" w:eastAsia="Arial" w:hAnsi="Arial"/>
          <w:sz w:val="18"/>
          <w:szCs w:val="18"/>
          <w:color w:val="202124"/>
        </w:rPr>
        <w:t xml:space="preserve"> to better communicate how we engage with our shareholders and how we respond to shareholder feedback.</w:t>
      </w:r>
    </w:p>
    <w:p>
      <w:pPr>
        <w:spacing w:after="0" w:line="19" w:lineRule="exact"/>
        <w:rPr>
          <w:rFonts w:ascii="MS PGothic" w:cs="MS PGothic" w:eastAsia="MS PGothic" w:hAnsi="MS PGothic"/>
          <w:sz w:val="18"/>
          <w:szCs w:val="18"/>
          <w:color w:val="202124"/>
        </w:rPr>
      </w:pPr>
    </w:p>
    <w:p>
      <w:pPr>
        <w:ind w:left="1320" w:hanging="325"/>
        <w:spacing w:after="0"/>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Amended Committee Charters to formalize </w:t>
      </w:r>
      <w:r>
        <w:rPr>
          <w:rFonts w:ascii="Arial" w:cs="Arial" w:eastAsia="Arial" w:hAnsi="Arial"/>
          <w:sz w:val="18"/>
          <w:szCs w:val="18"/>
          <w:b w:val="1"/>
          <w:bCs w:val="1"/>
          <w:color w:val="F37F00"/>
        </w:rPr>
        <w:t>Board oversight of corporate responsibility</w:t>
      </w:r>
      <w:r>
        <w:rPr>
          <w:rFonts w:ascii="Arial" w:cs="Arial" w:eastAsia="Arial" w:hAnsi="Arial"/>
          <w:sz w:val="18"/>
          <w:szCs w:val="18"/>
          <w:color w:val="202124"/>
        </w:rPr>
        <w:t xml:space="preserve"> matters.</w:t>
      </w:r>
    </w:p>
    <w:p>
      <w:pPr>
        <w:spacing w:after="0" w:line="63" w:lineRule="exact"/>
        <w:rPr>
          <w:rFonts w:ascii="MS PGothic" w:cs="MS PGothic" w:eastAsia="MS PGothic" w:hAnsi="MS PGothic"/>
          <w:sz w:val="18"/>
          <w:szCs w:val="18"/>
          <w:color w:val="202124"/>
        </w:rPr>
      </w:pPr>
    </w:p>
    <w:p>
      <w:pPr>
        <w:ind w:left="1320" w:hanging="325"/>
        <w:spacing w:after="0"/>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Included </w:t>
      </w:r>
      <w:r>
        <w:rPr>
          <w:rFonts w:ascii="Arial" w:cs="Arial" w:eastAsia="Arial" w:hAnsi="Arial"/>
          <w:sz w:val="18"/>
          <w:szCs w:val="18"/>
          <w:b w:val="1"/>
          <w:bCs w:val="1"/>
          <w:color w:val="F37F00"/>
        </w:rPr>
        <w:t>EEO-1 Compliant Data</w:t>
      </w:r>
      <w:r>
        <w:rPr>
          <w:rFonts w:ascii="Arial" w:cs="Arial" w:eastAsia="Arial" w:hAnsi="Arial"/>
          <w:sz w:val="18"/>
          <w:szCs w:val="18"/>
          <w:color w:val="202124"/>
        </w:rPr>
        <w:t xml:space="preserve"> in our Corporate Responsibility Report (CRR).</w:t>
      </w:r>
    </w:p>
    <w:p>
      <w:pPr>
        <w:spacing w:after="0" w:line="63" w:lineRule="exact"/>
        <w:rPr>
          <w:rFonts w:ascii="MS PGothic" w:cs="MS PGothic" w:eastAsia="MS PGothic" w:hAnsi="MS PGothic"/>
          <w:sz w:val="18"/>
          <w:szCs w:val="18"/>
          <w:color w:val="202124"/>
        </w:rPr>
      </w:pPr>
    </w:p>
    <w:p>
      <w:pPr>
        <w:ind w:left="1320" w:right="200" w:hanging="325"/>
        <w:spacing w:after="0" w:line="255"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Developed a regular </w:t>
      </w:r>
      <w:r>
        <w:rPr>
          <w:rFonts w:ascii="Arial" w:cs="Arial" w:eastAsia="Arial" w:hAnsi="Arial"/>
          <w:sz w:val="18"/>
          <w:szCs w:val="18"/>
          <w:b w:val="1"/>
          <w:bCs w:val="1"/>
          <w:color w:val="F37F00"/>
        </w:rPr>
        <w:t>corporate responsibility reporting cadence</w:t>
      </w:r>
      <w:r>
        <w:rPr>
          <w:rFonts w:ascii="Arial" w:cs="Arial" w:eastAsia="Arial" w:hAnsi="Arial"/>
          <w:sz w:val="18"/>
          <w:szCs w:val="18"/>
          <w:color w:val="202124"/>
        </w:rPr>
        <w:t xml:space="preserve"> with a commitment of publishing our annual CRR by April 15 of each calendar year.</w:t>
      </w:r>
    </w:p>
    <w:p>
      <w:pPr>
        <w:spacing w:after="0" w:line="19" w:lineRule="exact"/>
        <w:rPr>
          <w:rFonts w:ascii="MS PGothic" w:cs="MS PGothic" w:eastAsia="MS PGothic" w:hAnsi="MS PGothic"/>
          <w:sz w:val="18"/>
          <w:szCs w:val="18"/>
          <w:color w:val="202124"/>
        </w:rPr>
      </w:pPr>
    </w:p>
    <w:p>
      <w:pPr>
        <w:ind w:left="1320" w:hanging="325"/>
        <w:spacing w:after="0"/>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Updated our </w:t>
      </w:r>
      <w:r>
        <w:rPr>
          <w:rFonts w:ascii="Arial" w:cs="Arial" w:eastAsia="Arial" w:hAnsi="Arial"/>
          <w:sz w:val="18"/>
          <w:szCs w:val="18"/>
          <w:b w:val="1"/>
          <w:bCs w:val="1"/>
          <w:color w:val="F37F00"/>
        </w:rPr>
        <w:t>Corporate Governance Principles</w:t>
      </w:r>
      <w:r>
        <w:rPr>
          <w:rFonts w:ascii="Arial" w:cs="Arial" w:eastAsia="Arial" w:hAnsi="Arial"/>
          <w:sz w:val="18"/>
          <w:szCs w:val="18"/>
          <w:color w:val="202124"/>
        </w:rPr>
        <w:t>.</w:t>
      </w:r>
    </w:p>
    <w:p>
      <w:pPr>
        <w:spacing w:after="0" w:line="63" w:lineRule="exact"/>
        <w:rPr>
          <w:rFonts w:ascii="MS PGothic" w:cs="MS PGothic" w:eastAsia="MS PGothic" w:hAnsi="MS PGothic"/>
          <w:sz w:val="18"/>
          <w:szCs w:val="18"/>
          <w:color w:val="202124"/>
        </w:rPr>
      </w:pPr>
    </w:p>
    <w:p>
      <w:pPr>
        <w:jc w:val="both"/>
        <w:ind w:left="1320" w:right="140" w:hanging="325"/>
        <w:spacing w:after="0" w:line="248" w:lineRule="auto"/>
        <w:tabs>
          <w:tab w:leader="none" w:pos="1320" w:val="left"/>
        </w:tabs>
        <w:numPr>
          <w:ilvl w:val="0"/>
          <w:numId w:val="24"/>
        </w:numPr>
        <w:rPr>
          <w:rFonts w:ascii="MS PGothic" w:cs="MS PGothic" w:eastAsia="MS PGothic" w:hAnsi="MS PGothic"/>
          <w:sz w:val="18"/>
          <w:szCs w:val="18"/>
          <w:color w:val="202124"/>
        </w:rPr>
      </w:pPr>
      <w:r>
        <w:rPr>
          <w:rFonts w:ascii="Arial" w:cs="Arial" w:eastAsia="Arial" w:hAnsi="Arial"/>
          <w:sz w:val="18"/>
          <w:szCs w:val="18"/>
          <w:color w:val="202124"/>
        </w:rPr>
        <w:t xml:space="preserve">Enhanced our </w:t>
      </w:r>
      <w:r>
        <w:rPr>
          <w:rFonts w:ascii="Arial" w:cs="Arial" w:eastAsia="Arial" w:hAnsi="Arial"/>
          <w:sz w:val="18"/>
          <w:szCs w:val="18"/>
          <w:b w:val="1"/>
          <w:bCs w:val="1"/>
          <w:color w:val="F37F00"/>
        </w:rPr>
        <w:t>governance disclosures</w:t>
      </w:r>
      <w:r>
        <w:rPr>
          <w:rFonts w:ascii="Arial" w:cs="Arial" w:eastAsia="Arial" w:hAnsi="Arial"/>
          <w:sz w:val="18"/>
          <w:szCs w:val="18"/>
          <w:color w:val="202124"/>
        </w:rPr>
        <w:t>, particularly around board succession planning, use of third-party firms for Board review and evaluations, our philosophy on the importance of Board tenure and refreshing the Board to ensure sufficient knowledge and experience combined with fresh perspectives, objectivity and independence.</w:t>
      </w:r>
    </w:p>
    <w:p>
      <w:pPr>
        <w:spacing w:after="0" w:line="19" w:lineRule="exact"/>
        <w:rPr>
          <w:rFonts w:ascii="MS PGothic" w:cs="MS PGothic" w:eastAsia="MS PGothic" w:hAnsi="MS PGothic"/>
          <w:sz w:val="18"/>
          <w:szCs w:val="18"/>
          <w:color w:val="202124"/>
        </w:rPr>
      </w:pPr>
    </w:p>
    <w:p>
      <w:pPr>
        <w:ind w:left="1320" w:right="40" w:hanging="325"/>
        <w:spacing w:after="0" w:line="275" w:lineRule="auto"/>
        <w:tabs>
          <w:tab w:leader="none" w:pos="1320" w:val="left"/>
        </w:tabs>
        <w:numPr>
          <w:ilvl w:val="0"/>
          <w:numId w:val="24"/>
        </w:numPr>
        <w:rPr>
          <w:rFonts w:ascii="MS PGothic" w:cs="MS PGothic" w:eastAsia="MS PGothic" w:hAnsi="MS PGothic"/>
          <w:sz w:val="17"/>
          <w:szCs w:val="17"/>
          <w:color w:val="202124"/>
        </w:rPr>
      </w:pPr>
      <w:r>
        <w:rPr>
          <w:rFonts w:ascii="Arial" w:cs="Arial" w:eastAsia="Arial" w:hAnsi="Arial"/>
          <w:sz w:val="17"/>
          <w:szCs w:val="17"/>
          <w:color w:val="202124"/>
        </w:rPr>
        <w:t xml:space="preserve">Updated our </w:t>
      </w:r>
      <w:r>
        <w:rPr>
          <w:rFonts w:ascii="Arial" w:cs="Arial" w:eastAsia="Arial" w:hAnsi="Arial"/>
          <w:sz w:val="17"/>
          <w:szCs w:val="17"/>
          <w:b w:val="1"/>
          <w:bCs w:val="1"/>
          <w:color w:val="F37F00"/>
        </w:rPr>
        <w:t>Audit Committee Charter</w:t>
      </w:r>
      <w:r>
        <w:rPr>
          <w:rFonts w:ascii="Arial" w:cs="Arial" w:eastAsia="Arial" w:hAnsi="Arial"/>
          <w:sz w:val="17"/>
          <w:szCs w:val="17"/>
          <w:color w:val="202124"/>
        </w:rPr>
        <w:t xml:space="preserve"> to state that the Audit Committee shall oversee the Company’s practices with respect to cybersecurity, information security and service continuity, as well as the steps taken to monitor or mitigate risks in these areas—a practice that was already in effect and has now been memorialized in the charter.</w:t>
      </w:r>
    </w:p>
    <w:p>
      <w:pPr>
        <w:spacing w:after="0" w:line="192" w:lineRule="exact"/>
        <w:rPr>
          <w:sz w:val="20"/>
          <w:szCs w:val="20"/>
          <w:color w:val="auto"/>
        </w:rPr>
      </w:pPr>
    </w:p>
    <w:p>
      <w:pPr>
        <w:jc w:val="both"/>
        <w:ind w:left="640" w:right="100"/>
        <w:spacing w:after="0" w:line="253" w:lineRule="auto"/>
        <w:rPr>
          <w:sz w:val="20"/>
          <w:szCs w:val="20"/>
          <w:color w:val="auto"/>
        </w:rPr>
      </w:pPr>
      <w:r>
        <w:rPr>
          <w:rFonts w:ascii="Arial" w:cs="Arial" w:eastAsia="Arial" w:hAnsi="Arial"/>
          <w:sz w:val="18"/>
          <w:szCs w:val="18"/>
          <w:b w:val="1"/>
          <w:bCs w:val="1"/>
          <w:color w:val="202124"/>
        </w:rPr>
        <w:t xml:space="preserve">FY26 Shareholder Engagement—Governance. </w:t>
      </w:r>
      <w:r>
        <w:rPr>
          <w:rFonts w:ascii="Arial" w:cs="Arial" w:eastAsia="Arial" w:hAnsi="Arial"/>
          <w:sz w:val="18"/>
          <w:szCs w:val="18"/>
          <w:color w:val="202124"/>
        </w:rPr>
        <w:t>In the fourth quarter of fiscal 2026, we invited our top shareholders to a</w:t>
      </w:r>
      <w:r>
        <w:rPr>
          <w:rFonts w:ascii="Arial" w:cs="Arial" w:eastAsia="Arial" w:hAnsi="Arial"/>
          <w:sz w:val="18"/>
          <w:szCs w:val="18"/>
          <w:b w:val="1"/>
          <w:bCs w:val="1"/>
          <w:color w:val="202124"/>
        </w:rPr>
        <w:t xml:space="preserve"> </w:t>
      </w:r>
      <w:r>
        <w:rPr>
          <w:rFonts w:ascii="Arial" w:cs="Arial" w:eastAsia="Arial" w:hAnsi="Arial"/>
          <w:sz w:val="18"/>
          <w:szCs w:val="18"/>
          <w:color w:val="202124"/>
        </w:rPr>
        <w:t>general structured discussion on a variety of topics as well as any other feedback or suggestions they might have for the Board to consider.</w:t>
      </w:r>
    </w:p>
    <w:p>
      <w:pPr>
        <w:spacing w:after="0" w:line="7" w:lineRule="exact"/>
        <w:rPr>
          <w:sz w:val="20"/>
          <w:szCs w:val="20"/>
          <w:color w:val="auto"/>
        </w:rPr>
      </w:pPr>
    </w:p>
    <w:p>
      <w:pPr>
        <w:ind w:left="1320" w:right="760" w:hanging="325"/>
        <w:spacing w:after="0" w:line="265" w:lineRule="auto"/>
        <w:tabs>
          <w:tab w:leader="none" w:pos="1320" w:val="left"/>
        </w:tabs>
        <w:numPr>
          <w:ilvl w:val="0"/>
          <w:numId w:val="25"/>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Initial Outreach</w:t>
      </w:r>
      <w:r>
        <w:rPr>
          <w:rFonts w:ascii="Arial" w:cs="Arial" w:eastAsia="Arial" w:hAnsi="Arial"/>
          <w:sz w:val="18"/>
          <w:szCs w:val="18"/>
          <w:color w:val="202124"/>
        </w:rPr>
        <w:t>: We contacted 60 of our top shareholders representing approximately 70% of our shares outstanding.</w:t>
      </w:r>
    </w:p>
    <w:p>
      <w:pPr>
        <w:spacing w:after="0" w:line="1" w:lineRule="exact"/>
        <w:rPr>
          <w:rFonts w:ascii="Times New Roman" w:cs="Times New Roman" w:eastAsia="Times New Roman" w:hAnsi="Times New Roman"/>
          <w:sz w:val="18"/>
          <w:szCs w:val="18"/>
          <w:color w:val="F37F00"/>
        </w:rPr>
      </w:pPr>
    </w:p>
    <w:p>
      <w:pPr>
        <w:ind w:left="1320" w:right="120" w:hanging="325"/>
        <w:spacing w:after="0" w:line="265" w:lineRule="auto"/>
        <w:tabs>
          <w:tab w:leader="none" w:pos="1320" w:val="left"/>
        </w:tabs>
        <w:numPr>
          <w:ilvl w:val="0"/>
          <w:numId w:val="25"/>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Meetings Scheduled</w:t>
      </w:r>
      <w:r>
        <w:rPr>
          <w:rFonts w:ascii="Arial" w:cs="Arial" w:eastAsia="Arial" w:hAnsi="Arial"/>
          <w:sz w:val="18"/>
          <w:szCs w:val="18"/>
          <w:color w:val="202124"/>
        </w:rPr>
        <w:t>: In response, nine shareholders representing approximately 18% of our shares outstanding accepted our invitation to discuss. Our Chairman led these meetings.</w:t>
      </w:r>
    </w:p>
    <w:p>
      <w:pPr>
        <w:spacing w:after="0" w:line="1" w:lineRule="exact"/>
        <w:rPr>
          <w:rFonts w:ascii="Times New Roman" w:cs="Times New Roman" w:eastAsia="Times New Roman" w:hAnsi="Times New Roman"/>
          <w:sz w:val="18"/>
          <w:szCs w:val="18"/>
          <w:color w:val="F37F00"/>
        </w:rPr>
      </w:pPr>
    </w:p>
    <w:p>
      <w:pPr>
        <w:ind w:left="1320" w:right="60" w:hanging="325"/>
        <w:spacing w:after="0" w:line="270" w:lineRule="auto"/>
        <w:tabs>
          <w:tab w:leader="none" w:pos="1320" w:val="left"/>
        </w:tabs>
        <w:numPr>
          <w:ilvl w:val="0"/>
          <w:numId w:val="25"/>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Topics Discussed</w:t>
      </w:r>
      <w:r>
        <w:rPr>
          <w:rFonts w:ascii="Arial" w:cs="Arial" w:eastAsia="Arial" w:hAnsi="Arial"/>
          <w:sz w:val="18"/>
          <w:szCs w:val="18"/>
          <w:color w:val="202124"/>
        </w:rPr>
        <w:t>: Board succession planning and tenure; Board leadership refreshment; corporate responsibility initiatives; executive compensation;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22   </w:t>
      </w:r>
      <w:r>
        <w:rPr>
          <w:sz w:val="1"/>
          <w:szCs w:val="1"/>
          <w:color w:val="auto"/>
        </w:rPr>
        <w:drawing>
          <wp:inline distT="0" distB="0" distL="0" distR="0">
            <wp:extent cx="1165860" cy="137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25" w:name="page26"/>
    <w:bookmarkEnd w:id="2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PROCEDURE FOR COMMUNICATION WITH THE BOARD OF DIRECTORS</w:t>
      </w:r>
    </w:p>
    <w:p>
      <w:pPr>
        <w:spacing w:after="0" w:line="117" w:lineRule="exact"/>
        <w:rPr>
          <w:sz w:val="20"/>
          <w:szCs w:val="20"/>
          <w:color w:val="auto"/>
        </w:rPr>
      </w:pPr>
    </w:p>
    <w:p>
      <w:pPr>
        <w:ind w:left="640" w:right="120"/>
        <w:spacing w:after="0" w:line="259" w:lineRule="auto"/>
        <w:rPr>
          <w:sz w:val="20"/>
          <w:szCs w:val="20"/>
          <w:color w:val="auto"/>
        </w:rPr>
      </w:pPr>
      <w:r>
        <w:rPr>
          <w:rFonts w:ascii="Arial" w:cs="Arial" w:eastAsia="Arial" w:hAnsi="Arial"/>
          <w:sz w:val="17"/>
          <w:szCs w:val="17"/>
          <w:color w:val="202124"/>
        </w:rPr>
        <w:t>Shareholders and other interested parties may communicate with the Board by writing to the Board, to any individual director or to the non-management directors as a group c/o Corporate Secretary, AutoZone, Inc., 123 South Front Street,</w:t>
      </w:r>
    </w:p>
    <w:p>
      <w:pPr>
        <w:spacing w:after="0" w:line="1" w:lineRule="exact"/>
        <w:rPr>
          <w:sz w:val="20"/>
          <w:szCs w:val="20"/>
          <w:color w:val="auto"/>
        </w:rPr>
      </w:pPr>
    </w:p>
    <w:p>
      <w:pPr>
        <w:ind w:left="640" w:right="180"/>
        <w:spacing w:after="0"/>
        <w:rPr>
          <w:sz w:val="20"/>
          <w:szCs w:val="20"/>
          <w:color w:val="auto"/>
        </w:rPr>
      </w:pPr>
      <w:r>
        <w:rPr>
          <w:rFonts w:ascii="Arial" w:cs="Arial" w:eastAsia="Arial" w:hAnsi="Arial"/>
          <w:sz w:val="17"/>
          <w:szCs w:val="17"/>
          <w:color w:val="202124"/>
        </w:rPr>
        <w:t>Dept. 8074, Memphis, Tennessee 38103. The Company’s General Counsel and Corporate Secretary will review all such correspondence and will forward correspondence that, in her opinion, deals with the function of the Board or that she</w:t>
      </w:r>
    </w:p>
    <w:p>
      <w:pPr>
        <w:ind w:left="640"/>
        <w:spacing w:after="0" w:line="235" w:lineRule="auto"/>
        <w:rPr>
          <w:sz w:val="20"/>
          <w:szCs w:val="20"/>
          <w:color w:val="auto"/>
        </w:rPr>
      </w:pPr>
      <w:r>
        <w:rPr>
          <w:rFonts w:ascii="Arial" w:cs="Arial" w:eastAsia="Arial" w:hAnsi="Arial"/>
          <w:sz w:val="18"/>
          <w:szCs w:val="18"/>
          <w:color w:val="202124"/>
        </w:rPr>
        <w:t>otherwise determines requires the attention of any member, group or committee of the Board. Communications addressed</w:t>
      </w:r>
    </w:p>
    <w:p>
      <w:pPr>
        <w:ind w:left="640" w:right="180"/>
        <w:spacing w:after="0" w:line="226" w:lineRule="auto"/>
        <w:rPr>
          <w:sz w:val="20"/>
          <w:szCs w:val="20"/>
          <w:color w:val="auto"/>
        </w:rPr>
      </w:pPr>
      <w:r>
        <w:rPr>
          <w:rFonts w:ascii="Arial" w:cs="Arial" w:eastAsia="Arial" w:hAnsi="Arial"/>
          <w:sz w:val="18"/>
          <w:szCs w:val="18"/>
          <w:color w:val="202124"/>
        </w:rPr>
        <w:t>to the Board or to the non-management directors as a group, and determined by the Company’s General Counsel and Corporate Secretary to merit their attention, will be forwarded to the Chair of the Nominating and Corporate Governance</w:t>
      </w:r>
    </w:p>
    <w:p>
      <w:pPr>
        <w:spacing w:after="0" w:line="2" w:lineRule="exact"/>
        <w:rPr>
          <w:sz w:val="20"/>
          <w:szCs w:val="20"/>
          <w:color w:val="auto"/>
        </w:rPr>
      </w:pPr>
    </w:p>
    <w:p>
      <w:pPr>
        <w:ind w:left="640" w:right="420"/>
        <w:spacing w:after="0" w:line="250" w:lineRule="auto"/>
        <w:rPr>
          <w:sz w:val="20"/>
          <w:szCs w:val="20"/>
          <w:color w:val="auto"/>
        </w:rPr>
      </w:pPr>
      <w:r>
        <w:rPr>
          <w:rFonts w:ascii="Arial" w:cs="Arial" w:eastAsia="Arial" w:hAnsi="Arial"/>
          <w:sz w:val="18"/>
          <w:szCs w:val="18"/>
          <w:color w:val="202124"/>
        </w:rPr>
        <w:t>Committee, and communications addressed to a committee of the Board, and determined by the Company’s General Counsel and Corporate Secretary to merit their attention, will be forwarded to the chair of that committee.</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Related Person Transactions</w:t>
      </w:r>
    </w:p>
    <w:p>
      <w:pPr>
        <w:spacing w:after="0" w:line="111" w:lineRule="exact"/>
        <w:rPr>
          <w:sz w:val="20"/>
          <w:szCs w:val="20"/>
          <w:color w:val="auto"/>
        </w:rPr>
      </w:pPr>
    </w:p>
    <w:p>
      <w:pPr>
        <w:ind w:left="640" w:right="440"/>
        <w:spacing w:after="0" w:line="237" w:lineRule="auto"/>
        <w:rPr>
          <w:sz w:val="20"/>
          <w:szCs w:val="20"/>
          <w:color w:val="auto"/>
        </w:rPr>
      </w:pPr>
      <w:r>
        <w:rPr>
          <w:rFonts w:ascii="Arial" w:cs="Arial" w:eastAsia="Arial" w:hAnsi="Arial"/>
          <w:sz w:val="18"/>
          <w:szCs w:val="18"/>
          <w:color w:val="202124"/>
        </w:rPr>
        <w:t>Our Board has adopted a Related Person Transaction Policy (the “Policy”) which requires the Audit Committee of the Board to conduct a reasonable prior review of, and approve or ratify, all Related Person Transactions. The Audit</w:t>
      </w:r>
    </w:p>
    <w:p>
      <w:pPr>
        <w:spacing w:after="0" w:line="1" w:lineRule="exact"/>
        <w:rPr>
          <w:sz w:val="20"/>
          <w:szCs w:val="20"/>
          <w:color w:val="auto"/>
        </w:rPr>
      </w:pPr>
    </w:p>
    <w:p>
      <w:pPr>
        <w:ind w:left="640" w:right="120"/>
        <w:spacing w:after="0"/>
        <w:rPr>
          <w:sz w:val="20"/>
          <w:szCs w:val="20"/>
          <w:color w:val="auto"/>
        </w:rPr>
      </w:pPr>
      <w:r>
        <w:rPr>
          <w:rFonts w:ascii="Arial" w:cs="Arial" w:eastAsia="Arial" w:hAnsi="Arial"/>
          <w:sz w:val="17"/>
          <w:szCs w:val="17"/>
          <w:color w:val="202124"/>
        </w:rPr>
        <w:t>Committee considers the relevant facts and circumstances of each transaction, including but not limited to the benefits to the Company; the impact on a director’s independence in the event the Related Person is a director, an immediate family</w:t>
      </w:r>
    </w:p>
    <w:p>
      <w:pPr>
        <w:ind w:left="640"/>
        <w:spacing w:after="0" w:line="235" w:lineRule="auto"/>
        <w:rPr>
          <w:sz w:val="20"/>
          <w:szCs w:val="20"/>
          <w:color w:val="auto"/>
        </w:rPr>
      </w:pPr>
      <w:r>
        <w:rPr>
          <w:rFonts w:ascii="Arial" w:cs="Arial" w:eastAsia="Arial" w:hAnsi="Arial"/>
          <w:sz w:val="18"/>
          <w:szCs w:val="18"/>
          <w:color w:val="202124"/>
        </w:rPr>
        <w:t>member of a director or an entity in which a director is a partner, stockholder or executive officer; the availability of other</w:t>
      </w:r>
    </w:p>
    <w:p>
      <w:pPr>
        <w:ind w:left="640" w:right="20"/>
        <w:spacing w:after="0" w:line="226" w:lineRule="auto"/>
        <w:rPr>
          <w:sz w:val="20"/>
          <w:szCs w:val="20"/>
          <w:color w:val="auto"/>
        </w:rPr>
      </w:pPr>
      <w:r>
        <w:rPr>
          <w:rFonts w:ascii="Arial" w:cs="Arial" w:eastAsia="Arial" w:hAnsi="Arial"/>
          <w:sz w:val="18"/>
          <w:szCs w:val="18"/>
          <w:color w:val="202124"/>
        </w:rPr>
        <w:t>sources for comparable products or services; the terms of the transaction; the terms available to unrelated third parties generally and the existence of any potential conflicts of interest. The Policy further provides that the Audit Committee shall</w:t>
      </w:r>
    </w:p>
    <w:p>
      <w:pPr>
        <w:ind w:left="640"/>
        <w:spacing w:after="0" w:line="236" w:lineRule="auto"/>
        <w:rPr>
          <w:sz w:val="20"/>
          <w:szCs w:val="20"/>
          <w:color w:val="auto"/>
        </w:rPr>
      </w:pPr>
      <w:r>
        <w:rPr>
          <w:rFonts w:ascii="Arial" w:cs="Arial" w:eastAsia="Arial" w:hAnsi="Arial"/>
          <w:sz w:val="18"/>
          <w:szCs w:val="18"/>
          <w:color w:val="202124"/>
        </w:rPr>
        <w:t>not approve or ratify any such transaction it determines to be inconsistent with the interests of the Company and its</w:t>
      </w:r>
    </w:p>
    <w:p>
      <w:pPr>
        <w:spacing w:after="0" w:line="1" w:lineRule="exact"/>
        <w:rPr>
          <w:sz w:val="20"/>
          <w:szCs w:val="20"/>
          <w:color w:val="auto"/>
        </w:rPr>
      </w:pPr>
    </w:p>
    <w:p>
      <w:pPr>
        <w:ind w:left="640" w:right="300"/>
        <w:spacing w:after="0" w:line="237" w:lineRule="auto"/>
        <w:rPr>
          <w:sz w:val="20"/>
          <w:szCs w:val="20"/>
          <w:color w:val="auto"/>
        </w:rPr>
      </w:pPr>
      <w:r>
        <w:rPr>
          <w:rFonts w:ascii="Arial" w:cs="Arial" w:eastAsia="Arial" w:hAnsi="Arial"/>
          <w:sz w:val="18"/>
          <w:szCs w:val="18"/>
          <w:color w:val="202124"/>
        </w:rPr>
        <w:t>stockholders. Related Person Transactions must also comply with the policies and procedures specified in our Code of Conduct and Corporate Governance Principles, as described below.</w:t>
      </w:r>
    </w:p>
    <w:p>
      <w:pPr>
        <w:spacing w:after="0" w:line="113" w:lineRule="exact"/>
        <w:rPr>
          <w:sz w:val="20"/>
          <w:szCs w:val="20"/>
          <w:color w:val="auto"/>
        </w:rPr>
      </w:pPr>
    </w:p>
    <w:p>
      <w:pPr>
        <w:ind w:left="640" w:right="380"/>
        <w:spacing w:after="0" w:line="256" w:lineRule="auto"/>
        <w:rPr>
          <w:sz w:val="20"/>
          <w:szCs w:val="20"/>
          <w:color w:val="auto"/>
        </w:rPr>
      </w:pPr>
      <w:r>
        <w:rPr>
          <w:rFonts w:ascii="Arial" w:cs="Arial" w:eastAsia="Arial" w:hAnsi="Arial"/>
          <w:sz w:val="18"/>
          <w:szCs w:val="18"/>
          <w:color w:val="202124"/>
        </w:rPr>
        <w:t>The Policy also requires disclosure of all Related Person Transactions that are required to be disclosed in AutoZone’s filings with the SEC, in accordance with all applicable legal and regulatory requirements.</w:t>
      </w:r>
    </w:p>
    <w:p>
      <w:pPr>
        <w:spacing w:after="0" w:line="98" w:lineRule="exact"/>
        <w:rPr>
          <w:sz w:val="20"/>
          <w:szCs w:val="20"/>
          <w:color w:val="auto"/>
        </w:rPr>
      </w:pPr>
    </w:p>
    <w:p>
      <w:pPr>
        <w:ind w:left="640" w:right="400"/>
        <w:spacing w:after="0" w:line="251" w:lineRule="auto"/>
        <w:rPr>
          <w:sz w:val="20"/>
          <w:szCs w:val="20"/>
          <w:color w:val="auto"/>
        </w:rPr>
      </w:pPr>
      <w:r>
        <w:rPr>
          <w:rFonts w:ascii="Arial" w:cs="Arial" w:eastAsia="Arial" w:hAnsi="Arial"/>
          <w:sz w:val="17"/>
          <w:szCs w:val="17"/>
          <w:color w:val="202124"/>
        </w:rPr>
        <w:t>A “Related Person Transaction” is defined in the Policy as a transaction, arrangement or relationship (or any series of similar transactions, arrangements or relationships) that occurred since the beginning of the Company’s most recent</w:t>
      </w:r>
    </w:p>
    <w:p>
      <w:pPr>
        <w:ind w:left="640"/>
        <w:spacing w:after="0" w:line="235" w:lineRule="auto"/>
        <w:rPr>
          <w:sz w:val="20"/>
          <w:szCs w:val="20"/>
          <w:color w:val="auto"/>
        </w:rPr>
      </w:pPr>
      <w:r>
        <w:rPr>
          <w:rFonts w:ascii="Arial" w:cs="Arial" w:eastAsia="Arial" w:hAnsi="Arial"/>
          <w:sz w:val="18"/>
          <w:szCs w:val="18"/>
          <w:color w:val="202124"/>
        </w:rPr>
        <w:t>fiscal year in which the Company (including any of its subsidiaries) was, is or will be a participant and the amount involved</w:t>
      </w:r>
    </w:p>
    <w:p>
      <w:pPr>
        <w:ind w:left="640" w:right="280"/>
        <w:spacing w:after="0" w:line="226" w:lineRule="auto"/>
        <w:rPr>
          <w:sz w:val="20"/>
          <w:szCs w:val="20"/>
          <w:color w:val="auto"/>
        </w:rPr>
      </w:pPr>
      <w:r>
        <w:rPr>
          <w:rFonts w:ascii="Arial" w:cs="Arial" w:eastAsia="Arial" w:hAnsi="Arial"/>
          <w:sz w:val="18"/>
          <w:szCs w:val="18"/>
          <w:color w:val="202124"/>
        </w:rPr>
        <w:t>exceeds $120,000 and in which any Related Person had, has or will have a direct or indirect material interest. “Related Persons” include a director or executive officer of the Company, a nominee to become a director of the Company, any</w:t>
      </w:r>
    </w:p>
    <w:p>
      <w:pPr>
        <w:ind w:left="640"/>
        <w:spacing w:after="0" w:line="236" w:lineRule="auto"/>
        <w:rPr>
          <w:sz w:val="20"/>
          <w:szCs w:val="20"/>
          <w:color w:val="auto"/>
        </w:rPr>
      </w:pPr>
      <w:r>
        <w:rPr>
          <w:rFonts w:ascii="Arial" w:cs="Arial" w:eastAsia="Arial" w:hAnsi="Arial"/>
          <w:sz w:val="18"/>
          <w:szCs w:val="18"/>
          <w:color w:val="202124"/>
        </w:rPr>
        <w:t>person known to be the beneficial owner of more than 5% of any class of the Company’s voting securities, any immediate</w:t>
      </w:r>
    </w:p>
    <w:p>
      <w:pPr>
        <w:spacing w:after="0" w:line="1" w:lineRule="exact"/>
        <w:rPr>
          <w:sz w:val="20"/>
          <w:szCs w:val="20"/>
          <w:color w:val="auto"/>
        </w:rPr>
      </w:pPr>
    </w:p>
    <w:p>
      <w:pPr>
        <w:ind w:left="640" w:right="420"/>
        <w:spacing w:after="0" w:line="226" w:lineRule="auto"/>
        <w:rPr>
          <w:sz w:val="20"/>
          <w:szCs w:val="20"/>
          <w:color w:val="auto"/>
        </w:rPr>
      </w:pPr>
      <w:r>
        <w:rPr>
          <w:rFonts w:ascii="Arial" w:cs="Arial" w:eastAsia="Arial" w:hAnsi="Arial"/>
          <w:sz w:val="18"/>
          <w:szCs w:val="18"/>
          <w:color w:val="202124"/>
        </w:rPr>
        <w:t>family member of any of the foregoing persons, and any firm, corporation or other entity in which any of the foregoing persons is employed or is a partner or principal or in a similar position or in which such person has a 5% or greater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beneficial ownership interest.</w:t>
      </w:r>
    </w:p>
    <w:p>
      <w:pPr>
        <w:spacing w:after="0" w:line="113" w:lineRule="exact"/>
        <w:rPr>
          <w:sz w:val="20"/>
          <w:szCs w:val="20"/>
          <w:color w:val="auto"/>
        </w:rPr>
      </w:pPr>
    </w:p>
    <w:p>
      <w:pPr>
        <w:ind w:left="640" w:right="180"/>
        <w:spacing w:after="0" w:line="259" w:lineRule="auto"/>
        <w:rPr>
          <w:sz w:val="20"/>
          <w:szCs w:val="20"/>
          <w:color w:val="auto"/>
        </w:rPr>
      </w:pPr>
      <w:r>
        <w:rPr>
          <w:rFonts w:ascii="Arial" w:cs="Arial" w:eastAsia="Arial" w:hAnsi="Arial"/>
          <w:sz w:val="17"/>
          <w:szCs w:val="17"/>
          <w:color w:val="202124"/>
        </w:rPr>
        <w:t>Our Board has adopted a Code of Conduct (the “Code of Conduct”) that applies to the Company’s directors, officers and other AutoZoners. The Code of Conduct prohibits directors and executive officers from engaging in activities that create</w:t>
      </w:r>
    </w:p>
    <w:p>
      <w:pPr>
        <w:spacing w:after="0" w:line="1" w:lineRule="exact"/>
        <w:rPr>
          <w:sz w:val="20"/>
          <w:szCs w:val="20"/>
          <w:color w:val="auto"/>
        </w:rPr>
      </w:pPr>
    </w:p>
    <w:p>
      <w:pPr>
        <w:ind w:left="640" w:right="160"/>
        <w:spacing w:after="0"/>
        <w:rPr>
          <w:sz w:val="20"/>
          <w:szCs w:val="20"/>
          <w:color w:val="auto"/>
        </w:rPr>
      </w:pPr>
      <w:r>
        <w:rPr>
          <w:rFonts w:ascii="Arial" w:cs="Arial" w:eastAsia="Arial" w:hAnsi="Arial"/>
          <w:sz w:val="17"/>
          <w:szCs w:val="17"/>
          <w:color w:val="202124"/>
        </w:rPr>
        <w:t>conflicts of interest, taking corporate opportunities for personal use or competing with the Company, among other things. Our Board has also adopted a Code of Ethical Conduct for Financial Executives (the “Financial Code of Conduct”) that</w:t>
      </w:r>
    </w:p>
    <w:p>
      <w:pPr>
        <w:ind w:left="640"/>
        <w:spacing w:after="0" w:line="235" w:lineRule="auto"/>
        <w:rPr>
          <w:sz w:val="20"/>
          <w:szCs w:val="20"/>
          <w:color w:val="auto"/>
        </w:rPr>
      </w:pPr>
      <w:r>
        <w:rPr>
          <w:rFonts w:ascii="Arial" w:cs="Arial" w:eastAsia="Arial" w:hAnsi="Arial"/>
          <w:sz w:val="18"/>
          <w:szCs w:val="18"/>
          <w:color w:val="202124"/>
        </w:rPr>
        <w:t>applies to the Company’s officers and employees who hold the position of principal executive officer, principal financial</w:t>
      </w:r>
    </w:p>
    <w:p>
      <w:pPr>
        <w:ind w:left="640" w:right="260"/>
        <w:spacing w:after="0"/>
        <w:rPr>
          <w:sz w:val="20"/>
          <w:szCs w:val="20"/>
          <w:color w:val="auto"/>
        </w:rPr>
      </w:pPr>
      <w:r>
        <w:rPr>
          <w:rFonts w:ascii="Arial" w:cs="Arial" w:eastAsia="Arial" w:hAnsi="Arial"/>
          <w:sz w:val="17"/>
          <w:szCs w:val="17"/>
          <w:color w:val="202124"/>
        </w:rPr>
        <w:t>officer, principal accounting officer or controller as well as to the Company’s officers and other AutoZoners who perform similar functions (“Financial Executives”). The Financial Code of Conduct requires the Financial Executives to, among</w:t>
      </w:r>
    </w:p>
    <w:p>
      <w:pPr>
        <w:ind w:left="640"/>
        <w:spacing w:after="0" w:line="235" w:lineRule="auto"/>
        <w:rPr>
          <w:sz w:val="20"/>
          <w:szCs w:val="20"/>
          <w:color w:val="auto"/>
        </w:rPr>
      </w:pPr>
      <w:r>
        <w:rPr>
          <w:rFonts w:ascii="Arial" w:cs="Arial" w:eastAsia="Arial" w:hAnsi="Arial"/>
          <w:sz w:val="18"/>
          <w:szCs w:val="18"/>
          <w:color w:val="202124"/>
        </w:rPr>
        <w:t>other things, report any actual or apparent conflicts of interest between personal or professional relationships involving the</w:t>
      </w:r>
    </w:p>
    <w:p>
      <w:pPr>
        <w:ind w:left="640" w:right="160"/>
        <w:spacing w:after="0"/>
        <w:rPr>
          <w:sz w:val="20"/>
          <w:szCs w:val="20"/>
          <w:color w:val="auto"/>
        </w:rPr>
      </w:pPr>
      <w:r>
        <w:rPr>
          <w:rFonts w:ascii="Arial" w:cs="Arial" w:eastAsia="Arial" w:hAnsi="Arial"/>
          <w:sz w:val="17"/>
          <w:szCs w:val="17"/>
          <w:color w:val="202124"/>
        </w:rPr>
        <w:t>Company’s management or any other AutoZoner with a role in financial reporting disclosures or internal controls. Additionally, our Corporate Governance Principles require each director who is faced with an issue that presents, or may</w:t>
      </w:r>
    </w:p>
    <w:p>
      <w:pPr>
        <w:spacing w:after="0" w:line="1" w:lineRule="exact"/>
        <w:rPr>
          <w:sz w:val="20"/>
          <w:szCs w:val="20"/>
          <w:color w:val="auto"/>
        </w:rPr>
      </w:pPr>
    </w:p>
    <w:p>
      <w:pPr>
        <w:ind w:left="640" w:right="80"/>
        <w:spacing w:after="0"/>
        <w:rPr>
          <w:sz w:val="20"/>
          <w:szCs w:val="20"/>
          <w:color w:val="auto"/>
        </w:rPr>
      </w:pPr>
      <w:r>
        <w:rPr>
          <w:rFonts w:ascii="Arial" w:cs="Arial" w:eastAsia="Arial" w:hAnsi="Arial"/>
          <w:sz w:val="17"/>
          <w:szCs w:val="17"/>
          <w:color w:val="202124"/>
        </w:rPr>
        <w:t>give the appearance of presenting, a conflict of interest to disclose that fact to the Chairman of the Board and the Corporate Secretary, and to refrain from participating in discussions or votes on such issue unless a majority of the Board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determines, after consultation with counsel, that no conflict of interest exists as to such matter.</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We have concluded </w:t>
      </w:r>
      <w:r>
        <w:rPr>
          <w:rFonts w:ascii="Arial" w:cs="Arial" w:eastAsia="Arial" w:hAnsi="Arial"/>
          <w:sz w:val="18"/>
          <w:szCs w:val="18"/>
          <w:u w:val="single" w:color="auto"/>
          <w:color w:val="202124"/>
        </w:rPr>
        <w:t>there are no material Related Person Transactions or agreements</w:t>
      </w:r>
      <w:r>
        <w:rPr>
          <w:rFonts w:ascii="Arial" w:cs="Arial" w:eastAsia="Arial" w:hAnsi="Arial"/>
          <w:sz w:val="18"/>
          <w:szCs w:val="18"/>
          <w:color w:val="202124"/>
        </w:rPr>
        <w:t xml:space="preserve"> that were entered into during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fiscal year ended August 29, 2026, and through the date of this proxy statement requiring disclosure under these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23</w:t>
            </w:r>
          </w:p>
        </w:tc>
      </w:tr>
    </w:tbl>
    <w:p>
      <w:pPr>
        <w:sectPr>
          <w:pgSz w:w="11900" w:h="16838" w:orient="portrait"/>
          <w:cols w:equalWidth="0" w:num="1">
            <w:col w:w="10360"/>
          </w:cols>
          <w:pgMar w:left="440" w:top="106" w:right="1099" w:bottom="1440" w:gutter="0" w:footer="0" w:header="0"/>
        </w:sectPr>
      </w:pPr>
    </w:p>
    <w:bookmarkStart w:id="26" w:name="page27"/>
    <w:bookmarkEnd w:id="2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Audit Committee Report</w:t>
      </w:r>
    </w:p>
    <w:p>
      <w:pPr>
        <w:spacing w:after="0" w:line="111" w:lineRule="exact"/>
        <w:rPr>
          <w:sz w:val="20"/>
          <w:szCs w:val="20"/>
          <w:color w:val="auto"/>
        </w:rPr>
      </w:pPr>
    </w:p>
    <w:p>
      <w:pPr>
        <w:ind w:left="640" w:right="20"/>
        <w:spacing w:after="0" w:line="242" w:lineRule="auto"/>
        <w:rPr>
          <w:sz w:val="20"/>
          <w:szCs w:val="20"/>
          <w:color w:val="auto"/>
        </w:rPr>
      </w:pPr>
      <w:r>
        <w:rPr>
          <w:rFonts w:ascii="Arial" w:cs="Arial" w:eastAsia="Arial" w:hAnsi="Arial"/>
          <w:sz w:val="18"/>
          <w:szCs w:val="18"/>
          <w:color w:val="202124"/>
        </w:rPr>
        <w:t xml:space="preserve">The Audit Committee of the Board of AutoZone, Inc. has reviewed and discussed AutoZone’s audited financial statements for the year ended August 29, 2026 with AutoZone’s management. In addition, we have discussed with Ernst &amp; Young LLP, AutoZone’s independent registered public accounting firm, the matters required to be discussed by the Statement on Auditing Standards No.1301, </w:t>
      </w:r>
      <w:r>
        <w:rPr>
          <w:rFonts w:ascii="Arial" w:cs="Arial" w:eastAsia="Arial" w:hAnsi="Arial"/>
          <w:sz w:val="18"/>
          <w:szCs w:val="18"/>
          <w:i w:val="1"/>
          <w:iCs w:val="1"/>
          <w:color w:val="202124"/>
        </w:rPr>
        <w:t>Communications with Audit Committees</w:t>
      </w:r>
      <w:r>
        <w:rPr>
          <w:rFonts w:ascii="Arial" w:cs="Arial" w:eastAsia="Arial" w:hAnsi="Arial"/>
          <w:sz w:val="18"/>
          <w:szCs w:val="18"/>
          <w:color w:val="202124"/>
        </w:rPr>
        <w:t>, as amended and as adopted by the Public Company Accounting Oversight Board (“PCAOB”) in Rule 3200T, the Sarbanes-Oxley Act of 2002, and the charter of the Audit Committee.</w:t>
      </w:r>
    </w:p>
    <w:p>
      <w:pPr>
        <w:spacing w:after="0" w:line="152"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color w:val="202124"/>
        </w:rPr>
        <w:t>The Audit Committee also has received the written disclosures and letter from Ernst &amp; Young LLP required by the applicable requirements of the PCAOB regarding the firm’s communications with the Audit Committee concerning independence, and we have discussed with Ernst &amp; Young LLP their independence from the Company and its management. The Audit Committee has discussed with AutoZone’s management and the auditing firm such other matters and received such assurances from them as the Committee deemed appropriate.</w:t>
      </w:r>
    </w:p>
    <w:p>
      <w:pPr>
        <w:spacing w:after="0" w:line="136" w:lineRule="exact"/>
        <w:rPr>
          <w:sz w:val="20"/>
          <w:szCs w:val="20"/>
          <w:color w:val="auto"/>
        </w:rPr>
      </w:pPr>
    </w:p>
    <w:p>
      <w:pPr>
        <w:ind w:left="640" w:right="140"/>
        <w:spacing w:after="0" w:line="301" w:lineRule="auto"/>
        <w:rPr>
          <w:sz w:val="20"/>
          <w:szCs w:val="20"/>
          <w:color w:val="auto"/>
        </w:rPr>
      </w:pPr>
      <w:r>
        <w:rPr>
          <w:rFonts w:ascii="Arial" w:cs="Arial" w:eastAsia="Arial" w:hAnsi="Arial"/>
          <w:sz w:val="17"/>
          <w:szCs w:val="17"/>
          <w:color w:val="202124"/>
        </w:rPr>
        <w:t>As a result of our review and discussions, we have recommended to the Board the inclusion of AutoZone’s audited financial statements in the Annual Report on Form 10-K for the fiscal year ended August 29, 2026 for filing with the SEC.</w:t>
      </w:r>
    </w:p>
    <w:p>
      <w:pPr>
        <w:spacing w:after="0" w:line="90" w:lineRule="exact"/>
        <w:rPr>
          <w:sz w:val="20"/>
          <w:szCs w:val="20"/>
          <w:color w:val="auto"/>
        </w:rPr>
      </w:pPr>
    </w:p>
    <w:p>
      <w:pPr>
        <w:ind w:left="640" w:right="60"/>
        <w:spacing w:after="0" w:line="244" w:lineRule="auto"/>
        <w:rPr>
          <w:sz w:val="20"/>
          <w:szCs w:val="20"/>
          <w:color w:val="auto"/>
        </w:rPr>
      </w:pPr>
      <w:r>
        <w:rPr>
          <w:rFonts w:ascii="Arial" w:cs="Arial" w:eastAsia="Arial" w:hAnsi="Arial"/>
          <w:sz w:val="18"/>
          <w:szCs w:val="18"/>
          <w:color w:val="202124"/>
        </w:rPr>
        <w:t>While the Audit Committee has the responsibilities and powers set forth in its charter, the Audit Committee does not have the duty to plan or conduct audits or to determine that AutoZone’s financial statements are complete, accurate, or in accordance with generally accepted accounting principles (GAAP); AutoZone’s management and the independent auditor have this responsibility. Nor does the Audit Committee have the duty to assure compliance with laws and regulations and the policies of the Board.</w:t>
      </w:r>
    </w:p>
    <w:p>
      <w:pPr>
        <w:spacing w:after="0" w:line="16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202124"/>
        </w:rPr>
        <w:t>Audit Committee of the Board of Directors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202124"/>
        </w:rPr>
        <w:t>Linda A. Goodspeed (Chair)</w:t>
      </w:r>
    </w:p>
    <w:p>
      <w:pPr>
        <w:ind w:left="5500"/>
        <w:spacing w:after="0" w:line="234" w:lineRule="auto"/>
        <w:rPr>
          <w:sz w:val="20"/>
          <w:szCs w:val="20"/>
          <w:color w:val="auto"/>
        </w:rPr>
      </w:pPr>
      <w:r>
        <w:rPr>
          <w:rFonts w:ascii="Arial" w:cs="Arial" w:eastAsia="Arial" w:hAnsi="Arial"/>
          <w:sz w:val="18"/>
          <w:szCs w:val="18"/>
          <w:color w:val="202124"/>
        </w:rPr>
        <w:t>Michael A. George</w:t>
      </w:r>
    </w:p>
    <w:p>
      <w:pPr>
        <w:ind w:left="5500"/>
        <w:spacing w:after="0" w:line="235" w:lineRule="auto"/>
        <w:rPr>
          <w:sz w:val="20"/>
          <w:szCs w:val="20"/>
          <w:color w:val="auto"/>
        </w:rPr>
      </w:pPr>
      <w:r>
        <w:rPr>
          <w:rFonts w:ascii="Arial" w:cs="Arial" w:eastAsia="Arial" w:hAnsi="Arial"/>
          <w:sz w:val="18"/>
          <w:szCs w:val="18"/>
          <w:color w:val="202124"/>
        </w:rPr>
        <w:t>Claire R. McDonough</w:t>
      </w:r>
    </w:p>
    <w:p>
      <w:pPr>
        <w:ind w:left="5500"/>
        <w:spacing w:after="0" w:line="235" w:lineRule="auto"/>
        <w:rPr>
          <w:sz w:val="20"/>
          <w:szCs w:val="20"/>
          <w:color w:val="auto"/>
        </w:rPr>
      </w:pPr>
      <w:r>
        <w:rPr>
          <w:rFonts w:ascii="Arial" w:cs="Arial" w:eastAsia="Arial" w:hAnsi="Arial"/>
          <w:sz w:val="18"/>
          <w:szCs w:val="18"/>
          <w:color w:val="202124"/>
        </w:rPr>
        <w:t>George R. Mrkonic, Jr.</w:t>
      </w:r>
    </w:p>
    <w:p>
      <w:pPr>
        <w:ind w:left="5500"/>
        <w:spacing w:after="0"/>
        <w:rPr>
          <w:sz w:val="20"/>
          <w:szCs w:val="20"/>
          <w:color w:val="auto"/>
        </w:rPr>
      </w:pPr>
      <w:r>
        <w:rPr>
          <w:rFonts w:ascii="Arial" w:cs="Arial" w:eastAsia="Arial" w:hAnsi="Arial"/>
          <w:sz w:val="18"/>
          <w:szCs w:val="18"/>
          <w:color w:val="202124"/>
        </w:rPr>
        <w:t>Constantino Spas Montesinos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24   </w:t>
      </w:r>
      <w:r>
        <w:rPr>
          <w:sz w:val="1"/>
          <w:szCs w:val="1"/>
          <w:color w:val="auto"/>
        </w:rPr>
        <w:drawing>
          <wp:inline distT="0" distB="0" distL="0" distR="0">
            <wp:extent cx="1165860" cy="137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27" w:name="page28"/>
    <w:bookmarkEnd w:id="2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500"/>
        <w:spacing w:after="0"/>
        <w:rPr>
          <w:sz w:val="20"/>
          <w:szCs w:val="20"/>
          <w:color w:val="auto"/>
        </w:rPr>
      </w:pPr>
      <w:r>
        <w:rPr>
          <w:rFonts w:ascii="Arial" w:cs="Arial" w:eastAsia="Arial" w:hAnsi="Arial"/>
          <w:sz w:val="47"/>
          <w:szCs w:val="47"/>
          <w:b w:val="1"/>
          <w:bCs w:val="1"/>
          <w:color w:val="202124"/>
        </w:rPr>
        <w:t>THE PROPOSALS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43"/>
          <w:szCs w:val="43"/>
          <w:color w:val="F37F00"/>
        </w:rPr>
        <w:t xml:space="preserve">PROPOSAL 1: </w:t>
      </w:r>
      <w:r>
        <w:rPr>
          <w:rFonts w:ascii="Arial" w:cs="Arial" w:eastAsia="Arial" w:hAnsi="Arial"/>
          <w:sz w:val="43"/>
          <w:szCs w:val="43"/>
          <w:b w:val="1"/>
          <w:bCs w:val="1"/>
          <w:color w:val="F37F00"/>
        </w:rPr>
        <w:t>Election of 10 Directors</w:t>
      </w:r>
    </w:p>
    <w:p>
      <w:pPr>
        <w:spacing w:after="0" w:line="124" w:lineRule="exact"/>
        <w:rPr>
          <w:sz w:val="20"/>
          <w:szCs w:val="20"/>
          <w:color w:val="auto"/>
        </w:rPr>
      </w:pPr>
    </w:p>
    <w:p>
      <w:pPr>
        <w:jc w:val="both"/>
        <w:ind w:left="640" w:right="320"/>
        <w:spacing w:after="0" w:line="253" w:lineRule="auto"/>
        <w:rPr>
          <w:sz w:val="20"/>
          <w:szCs w:val="20"/>
          <w:color w:val="auto"/>
        </w:rPr>
      </w:pPr>
      <w:r>
        <w:rPr>
          <w:rFonts w:ascii="Arial" w:cs="Arial" w:eastAsia="Arial" w:hAnsi="Arial"/>
          <w:sz w:val="18"/>
          <w:szCs w:val="18"/>
          <w:b w:val="1"/>
          <w:bCs w:val="1"/>
          <w:color w:val="202124"/>
        </w:rPr>
        <w:t xml:space="preserve">DESCRIPTION OF PROPOSAL. </w:t>
      </w:r>
      <w:r>
        <w:rPr>
          <w:rFonts w:ascii="Arial" w:cs="Arial" w:eastAsia="Arial" w:hAnsi="Arial"/>
          <w:sz w:val="18"/>
          <w:szCs w:val="18"/>
          <w:color w:val="202124"/>
        </w:rPr>
        <w:t>Elect 10 director nominees. Each director shall serve for a 1-year term, until the next</w:t>
      </w:r>
      <w:r>
        <w:rPr>
          <w:rFonts w:ascii="Arial" w:cs="Arial" w:eastAsia="Arial" w:hAnsi="Arial"/>
          <w:sz w:val="18"/>
          <w:szCs w:val="18"/>
          <w:b w:val="1"/>
          <w:bCs w:val="1"/>
          <w:color w:val="202124"/>
        </w:rPr>
        <w:t xml:space="preserve"> </w:t>
      </w:r>
      <w:r>
        <w:rPr>
          <w:rFonts w:ascii="Arial" w:cs="Arial" w:eastAsia="Arial" w:hAnsi="Arial"/>
          <w:sz w:val="18"/>
          <w:szCs w:val="18"/>
          <w:color w:val="202124"/>
        </w:rPr>
        <w:t>annual meeting of stockholders, or until his or her successor is duly elected and qualified, or until the director’s earlier death, resignation or removal.</w:t>
      </w:r>
    </w:p>
    <w:p>
      <w:pPr>
        <w:spacing w:after="0" w:line="128" w:lineRule="exact"/>
        <w:rPr>
          <w:sz w:val="20"/>
          <w:szCs w:val="20"/>
          <w:color w:val="auto"/>
        </w:rPr>
      </w:pPr>
    </w:p>
    <w:p>
      <w:pPr>
        <w:ind w:left="640" w:right="20"/>
        <w:spacing w:after="0" w:line="242" w:lineRule="auto"/>
        <w:rPr>
          <w:sz w:val="20"/>
          <w:szCs w:val="20"/>
          <w:color w:val="auto"/>
        </w:rPr>
      </w:pPr>
      <w:r>
        <w:rPr>
          <w:rFonts w:ascii="Arial" w:cs="Arial" w:eastAsia="Arial" w:hAnsi="Arial"/>
          <w:sz w:val="18"/>
          <w:szCs w:val="18"/>
          <w:b w:val="1"/>
          <w:bCs w:val="1"/>
          <w:color w:val="202124"/>
        </w:rPr>
        <w:t xml:space="preserve">VOTES REQUIRED. </w:t>
      </w:r>
      <w:r>
        <w:rPr>
          <w:rFonts w:ascii="Arial" w:cs="Arial" w:eastAsia="Arial" w:hAnsi="Arial"/>
          <w:sz w:val="18"/>
          <w:szCs w:val="18"/>
          <w:color w:val="202124"/>
        </w:rPr>
        <w:t>The election of directors at this 2026 Annual Meeting is an uncontested election. As such, a director</w:t>
      </w:r>
      <w:r>
        <w:rPr>
          <w:rFonts w:ascii="Arial" w:cs="Arial" w:eastAsia="Arial" w:hAnsi="Arial"/>
          <w:sz w:val="18"/>
          <w:szCs w:val="18"/>
          <w:b w:val="1"/>
          <w:bCs w:val="1"/>
          <w:color w:val="202124"/>
        </w:rPr>
        <w:t xml:space="preserve"> </w:t>
      </w:r>
      <w:r>
        <w:rPr>
          <w:rFonts w:ascii="Arial" w:cs="Arial" w:eastAsia="Arial" w:hAnsi="Arial"/>
          <w:sz w:val="18"/>
          <w:szCs w:val="18"/>
          <w:color w:val="202124"/>
        </w:rPr>
        <w:t>nominee is elected to the Board if the number of votes cast FOR such nominee exceeds the number of votes cast AGAINST such nominee. Abstentions and broker non-votes are not considered votes cast or shares entitled to vote with respect to this matter and therefore will have no effect on the outcome of Proposal 1. If the number of nominees were to exceed the number of directors to be elected, for example in a contested election, directors would be elected by a plurality of the votes cast at the Annual Meeting.</w:t>
      </w:r>
    </w:p>
    <w:p>
      <w:pPr>
        <w:spacing w:after="0" w:line="138" w:lineRule="exact"/>
        <w:rPr>
          <w:sz w:val="20"/>
          <w:szCs w:val="20"/>
          <w:color w:val="auto"/>
        </w:rPr>
      </w:pPr>
    </w:p>
    <w:p>
      <w:pPr>
        <w:ind w:left="640" w:right="20"/>
        <w:spacing w:after="0" w:line="253" w:lineRule="auto"/>
        <w:rPr>
          <w:sz w:val="20"/>
          <w:szCs w:val="20"/>
          <w:color w:val="auto"/>
        </w:rPr>
      </w:pPr>
      <w:r>
        <w:rPr>
          <w:rFonts w:ascii="Arial" w:cs="Arial" w:eastAsia="Arial" w:hAnsi="Arial"/>
          <w:sz w:val="18"/>
          <w:szCs w:val="18"/>
          <w:b w:val="1"/>
          <w:bCs w:val="1"/>
          <w:color w:val="202124"/>
        </w:rPr>
        <w:t xml:space="preserve">IMPACT OF VOTE. </w:t>
      </w:r>
      <w:r>
        <w:rPr>
          <w:rFonts w:ascii="Arial" w:cs="Arial" w:eastAsia="Arial" w:hAnsi="Arial"/>
          <w:sz w:val="18"/>
          <w:szCs w:val="18"/>
          <w:color w:val="202124"/>
        </w:rPr>
        <w:t>Each of these nominees has consented to serve if elected. Should any nominee be unavailable to</w:t>
      </w:r>
      <w:r>
        <w:rPr>
          <w:rFonts w:ascii="Arial" w:cs="Arial" w:eastAsia="Arial" w:hAnsi="Arial"/>
          <w:sz w:val="18"/>
          <w:szCs w:val="18"/>
          <w:b w:val="1"/>
          <w:bCs w:val="1"/>
          <w:color w:val="202124"/>
        </w:rPr>
        <w:t xml:space="preserve"> </w:t>
      </w:r>
      <w:r>
        <w:rPr>
          <w:rFonts w:ascii="Arial" w:cs="Arial" w:eastAsia="Arial" w:hAnsi="Arial"/>
          <w:sz w:val="18"/>
          <w:szCs w:val="18"/>
          <w:color w:val="202124"/>
        </w:rPr>
        <w:t>serve, your proxy will be voted for a substitute nominee recommended by the Board, or the Board may reduce the number of directors on the Board.</w:t>
      </w:r>
    </w:p>
    <w:p>
      <w:pPr>
        <w:spacing w:after="0" w:line="142" w:lineRule="exact"/>
        <w:rPr>
          <w:sz w:val="20"/>
          <w:szCs w:val="20"/>
          <w:color w:val="auto"/>
        </w:rPr>
      </w:pPr>
    </w:p>
    <w:p>
      <w:pPr>
        <w:ind w:left="640" w:right="120"/>
        <w:spacing w:after="0"/>
        <w:rPr>
          <w:sz w:val="20"/>
          <w:szCs w:val="20"/>
          <w:color w:val="auto"/>
        </w:rPr>
      </w:pPr>
      <w:r>
        <w:rPr>
          <w:rFonts w:ascii="Arial" w:cs="Arial" w:eastAsia="Arial" w:hAnsi="Arial"/>
          <w:sz w:val="18"/>
          <w:szCs w:val="18"/>
          <w:color w:val="202124"/>
        </w:rPr>
        <w:t>Pursuant to AutoZone’s Corporate Governance Principles, incumbent directors must agree to tender their resignation if they fail to receive more votes for, than votes against, their reelection. In such event, the Board will act within 90 days following certification of the stockholder vote to determine whether to accept the director’s resignation. These procedures are described in more detail in our Corporate Governance Principles, which are available on our Investor Relations page of our website at www.autozone.com. The Board may consider any factors it deems relevant in deciding whether to accept a director’s resignation. If a director’s resignation offer is not accepted by the Board, that director will continue to serve until AutoZone’s next annual meeting of stockholders or until his or her successor is duly elected and qualified, or until the director’s earlier death, resignation, or removal.</w:t>
      </w:r>
    </w:p>
    <w:p>
      <w:pPr>
        <w:spacing w:after="0" w:line="140" w:lineRule="exact"/>
        <w:rPr>
          <w:sz w:val="20"/>
          <w:szCs w:val="20"/>
          <w:color w:val="auto"/>
        </w:rPr>
      </w:pPr>
    </w:p>
    <w:p>
      <w:pPr>
        <w:ind w:left="640" w:right="220"/>
        <w:spacing w:after="0" w:line="247" w:lineRule="auto"/>
        <w:rPr>
          <w:sz w:val="20"/>
          <w:szCs w:val="20"/>
          <w:color w:val="auto"/>
        </w:rPr>
      </w:pPr>
      <w:r>
        <w:rPr>
          <w:rFonts w:ascii="Arial" w:cs="Arial" w:eastAsia="Arial" w:hAnsi="Arial"/>
          <w:sz w:val="18"/>
          <w:szCs w:val="18"/>
          <w:color w:val="202124"/>
        </w:rPr>
        <w:t>Any director nominee who is not an incumbent director and who does not receive a majority vote in an uncontested election will not be elected as a director, and a vacancy will be left on the Board. The Board, in its sole discretion, may either fill a vacancy resulting from a director nominee not receiving a majority vote pursuant to the By-Laws or decrease the size of the Board to eliminate the vacancy.</w:t>
      </w:r>
    </w:p>
    <w:p>
      <w:pPr>
        <w:spacing w:after="0" w:line="133" w:lineRule="exact"/>
        <w:rPr>
          <w:sz w:val="20"/>
          <w:szCs w:val="20"/>
          <w:color w:val="auto"/>
        </w:rPr>
      </w:pPr>
    </w:p>
    <w:p>
      <w:pPr>
        <w:ind w:left="640" w:right="240"/>
        <w:spacing w:after="0" w:line="247" w:lineRule="auto"/>
        <w:rPr>
          <w:sz w:val="20"/>
          <w:szCs w:val="20"/>
          <w:color w:val="auto"/>
        </w:rPr>
      </w:pPr>
      <w:r>
        <w:rPr>
          <w:rFonts w:ascii="Arial" w:cs="Arial" w:eastAsia="Arial" w:hAnsi="Arial"/>
          <w:sz w:val="18"/>
          <w:szCs w:val="18"/>
          <w:b w:val="1"/>
          <w:bCs w:val="1"/>
          <w:color w:val="202124"/>
        </w:rPr>
        <w:t xml:space="preserve">BOARD RECOMMENDATION. </w:t>
      </w:r>
      <w:r>
        <w:rPr>
          <w:rFonts w:ascii="Arial" w:cs="Arial" w:eastAsia="Arial" w:hAnsi="Arial"/>
          <w:sz w:val="18"/>
          <w:szCs w:val="18"/>
          <w:color w:val="202124"/>
        </w:rPr>
        <w:t>Each of the nominees named below currently serve as a director, and was elected as a</w:t>
      </w:r>
      <w:r>
        <w:rPr>
          <w:rFonts w:ascii="Arial" w:cs="Arial" w:eastAsia="Arial" w:hAnsi="Arial"/>
          <w:sz w:val="18"/>
          <w:szCs w:val="18"/>
          <w:b w:val="1"/>
          <w:bCs w:val="1"/>
          <w:color w:val="202124"/>
        </w:rPr>
        <w:t xml:space="preserve"> </w:t>
      </w:r>
      <w:r>
        <w:rPr>
          <w:rFonts w:ascii="Arial" w:cs="Arial" w:eastAsia="Arial" w:hAnsi="Arial"/>
          <w:sz w:val="18"/>
          <w:szCs w:val="18"/>
          <w:color w:val="202124"/>
        </w:rPr>
        <w:t>director at the 2025 annual meeting of stockholders. As part of the Board’s determination to nominate these existing directors for reelection, the Board has determined that each of the directors has valuable experiences, skills and qualifications necessary to carry out their responsibilities effectively.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202124"/>
        </w:rPr>
        <w:t xml:space="preserve">The Board recommends that stockholders vote </w:t>
      </w:r>
      <w:r>
        <w:rPr>
          <w:rFonts w:ascii="Arial" w:cs="Arial" w:eastAsia="Arial" w:hAnsi="Arial"/>
          <w:sz w:val="20"/>
          <w:szCs w:val="20"/>
          <w:b w:val="1"/>
          <w:bCs w:val="1"/>
          <w:color w:val="F37F00"/>
        </w:rPr>
        <w:t>FOR</w:t>
      </w:r>
      <w:r>
        <w:rPr>
          <w:rFonts w:ascii="Arial" w:cs="Arial" w:eastAsia="Arial" w:hAnsi="Arial"/>
          <w:sz w:val="20"/>
          <w:szCs w:val="20"/>
          <w:color w:val="202124"/>
        </w:rPr>
        <w:t xml:space="preserve"> each of the</w:t>
      </w:r>
    </w:p>
    <w:p>
      <w:pPr>
        <w:spacing w:after="0" w:line="6"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202124"/>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25</w:t>
            </w:r>
          </w:p>
        </w:tc>
      </w:tr>
    </w:tbl>
    <w:p>
      <w:pPr>
        <w:sectPr>
          <w:pgSz w:w="11900" w:h="16838" w:orient="portrait"/>
          <w:cols w:equalWidth="0" w:num="1">
            <w:col w:w="10360"/>
          </w:cols>
          <w:pgMar w:left="440" w:top="106" w:right="1099" w:bottom="1440" w:gutter="0" w:footer="0" w:header="0"/>
        </w:sectPr>
      </w:pPr>
    </w:p>
    <w:bookmarkStart w:id="28" w:name="page29"/>
    <w:bookmarkEnd w:id="2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Nominees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37F00"/>
        </w:rPr>
        <w:t>PHILIP B. DANIELE, III</w:t>
      </w:r>
    </w:p>
    <w:p>
      <w:pPr>
        <w:spacing w:after="0" w:line="26" w:lineRule="exact"/>
        <w:rPr>
          <w:sz w:val="20"/>
          <w:szCs w:val="20"/>
          <w:color w:val="auto"/>
        </w:rPr>
      </w:pPr>
    </w:p>
    <w:p>
      <w:pPr>
        <w:jc w:val="both"/>
        <w:ind w:left="3080"/>
        <w:spacing w:after="0"/>
        <w:tabs>
          <w:tab w:leader="none" w:pos="8880" w:val="left"/>
        </w:tabs>
        <w:rPr>
          <w:sz w:val="20"/>
          <w:szCs w:val="20"/>
          <w:color w:val="auto"/>
        </w:rPr>
      </w:pPr>
      <w:r>
        <w:rPr>
          <w:rFonts w:ascii="Arial" w:cs="Arial" w:eastAsia="Arial" w:hAnsi="Arial"/>
          <w:sz w:val="16"/>
          <w:szCs w:val="16"/>
          <w:b w:val="1"/>
          <w:bCs w:val="1"/>
          <w:color w:val="202124"/>
        </w:rPr>
        <w:t>BIOGRAPHY:</w:t>
      </w:r>
      <w:r>
        <w:rPr>
          <w:sz w:val="20"/>
          <w:szCs w:val="20"/>
          <w:color w:val="auto"/>
        </w:rPr>
        <w:tab/>
      </w:r>
      <w:r>
        <w:rPr>
          <w:rFonts w:ascii="Arial" w:cs="Arial" w:eastAsia="Arial" w:hAnsi="Arial"/>
          <w:sz w:val="32"/>
          <w:szCs w:val="32"/>
          <w:b w:val="1"/>
          <w:bCs w:val="1"/>
          <w:color w:val="202124"/>
          <w:vertAlign w:val="subscript"/>
        </w:rPr>
        <w:t>KEY SKILLS: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51" w:lineRule="auto"/>
        <w:rPr>
          <w:sz w:val="20"/>
          <w:szCs w:val="20"/>
          <w:color w:val="auto"/>
        </w:rPr>
      </w:pPr>
      <w:r>
        <w:rPr>
          <w:rFonts w:ascii="Arial" w:cs="Arial" w:eastAsia="Arial" w:hAnsi="Arial"/>
          <w:sz w:val="16"/>
          <w:szCs w:val="16"/>
          <w:color w:val="202124"/>
        </w:rPr>
        <w:t>Mr. Daniele was appointed to the role of President and Chief Executive Officer in January 2024. Prior to being named CEO-Elect in June 2023, Mr. Daniele had served as Executive Vice President – Merchandising, Marketing and Supply Chain from June 2021 to June 2023 and Senior Vice President – Commercial from 2015 to 2021. In addition, Mr. Daniele held the roles of Vice President – Commercial Support from 2013 to 2015, Vice President – Merchandising from 2008 to 2013, and Divisional Vice President – Store Operations from 2005 to 2008. Prior to 2005, Mr. Daniele held several other key management positions with the Company.</w:t>
      </w:r>
    </w:p>
    <w:p>
      <w:pPr>
        <w:spacing w:after="0" w:line="20" w:lineRule="exact"/>
        <w:rPr>
          <w:sz w:val="20"/>
          <w:szCs w:val="20"/>
          <w:color w:val="auto"/>
        </w:rPr>
      </w:pPr>
      <w:r>
        <w:rPr>
          <w:sz w:val="20"/>
          <w:szCs w:val="20"/>
          <w:color w:val="auto"/>
        </w:rPr>
        <w:br w:type="column"/>
      </w:r>
    </w:p>
    <w:p>
      <w:pPr>
        <w:ind w:left="240" w:hanging="240"/>
        <w:spacing w:after="0"/>
        <w:tabs>
          <w:tab w:leader="none" w:pos="240" w:val="left"/>
        </w:tabs>
        <w:numPr>
          <w:ilvl w:val="0"/>
          <w:numId w:val="26"/>
        </w:numPr>
        <w:rPr>
          <w:rFonts w:ascii="Times New Roman" w:cs="Times New Roman" w:eastAsia="Times New Roman" w:hAnsi="Times New Roman"/>
          <w:sz w:val="16"/>
          <w:szCs w:val="16"/>
          <w:color w:val="F37F00"/>
        </w:rPr>
      </w:pPr>
      <w:r>
        <w:rPr>
          <w:rFonts w:ascii="Arial" w:cs="Arial" w:eastAsia="Arial" w:hAnsi="Arial"/>
          <w:sz w:val="16"/>
          <w:szCs w:val="16"/>
          <w:color w:val="202124"/>
        </w:rPr>
        <w:t>CEO</w:t>
      </w:r>
    </w:p>
    <w:p>
      <w:pPr>
        <w:spacing w:after="0" w:line="71" w:lineRule="exact"/>
        <w:rPr>
          <w:rFonts w:ascii="Times New Roman" w:cs="Times New Roman" w:eastAsia="Times New Roman" w:hAnsi="Times New Roman"/>
          <w:sz w:val="16"/>
          <w:szCs w:val="16"/>
          <w:color w:val="F37F00"/>
        </w:rPr>
      </w:pPr>
    </w:p>
    <w:p>
      <w:pPr>
        <w:ind w:left="240" w:hanging="240"/>
        <w:spacing w:after="0"/>
        <w:tabs>
          <w:tab w:leader="none" w:pos="240" w:val="left"/>
        </w:tabs>
        <w:numPr>
          <w:ilvl w:val="0"/>
          <w:numId w:val="26"/>
        </w:numPr>
        <w:rPr>
          <w:rFonts w:ascii="Times New Roman" w:cs="Times New Roman" w:eastAsia="Times New Roman" w:hAnsi="Times New Roman"/>
          <w:sz w:val="16"/>
          <w:szCs w:val="16"/>
          <w:color w:val="F37F00"/>
        </w:rPr>
      </w:pPr>
      <w:r>
        <w:rPr>
          <w:rFonts w:ascii="Arial" w:cs="Arial" w:eastAsia="Arial" w:hAnsi="Arial"/>
          <w:sz w:val="16"/>
          <w:szCs w:val="16"/>
          <w:color w:val="202124"/>
        </w:rPr>
        <w:t>Operations</w:t>
      </w:r>
    </w:p>
    <w:p>
      <w:pPr>
        <w:spacing w:after="0" w:line="71" w:lineRule="exact"/>
        <w:rPr>
          <w:rFonts w:ascii="Times New Roman" w:cs="Times New Roman" w:eastAsia="Times New Roman" w:hAnsi="Times New Roman"/>
          <w:sz w:val="16"/>
          <w:szCs w:val="16"/>
          <w:color w:val="F37F00"/>
        </w:rPr>
      </w:pPr>
    </w:p>
    <w:p>
      <w:pPr>
        <w:ind w:left="240" w:hanging="240"/>
        <w:spacing w:after="0"/>
        <w:tabs>
          <w:tab w:leader="none" w:pos="240" w:val="left"/>
        </w:tabs>
        <w:numPr>
          <w:ilvl w:val="0"/>
          <w:numId w:val="26"/>
        </w:numPr>
        <w:rPr>
          <w:rFonts w:ascii="Times New Roman" w:cs="Times New Roman" w:eastAsia="Times New Roman" w:hAnsi="Times New Roman"/>
          <w:sz w:val="16"/>
          <w:szCs w:val="16"/>
          <w:color w:val="F37F00"/>
        </w:rPr>
      </w:pPr>
      <w:r>
        <w:rPr>
          <w:rFonts w:ascii="Arial" w:cs="Arial" w:eastAsia="Arial" w:hAnsi="Arial"/>
          <w:sz w:val="16"/>
          <w:szCs w:val="16"/>
          <w:color w:val="202124"/>
        </w:rPr>
        <w:t>B2B</w:t>
      </w:r>
    </w:p>
    <w:p>
      <w:pPr>
        <w:spacing w:after="0" w:line="71" w:lineRule="exact"/>
        <w:rPr>
          <w:rFonts w:ascii="Times New Roman" w:cs="Times New Roman" w:eastAsia="Times New Roman" w:hAnsi="Times New Roman"/>
          <w:sz w:val="16"/>
          <w:szCs w:val="16"/>
          <w:color w:val="F37F00"/>
        </w:rPr>
      </w:pPr>
    </w:p>
    <w:p>
      <w:pPr>
        <w:ind w:left="240" w:hanging="240"/>
        <w:spacing w:after="0"/>
        <w:tabs>
          <w:tab w:leader="none" w:pos="240" w:val="left"/>
        </w:tabs>
        <w:numPr>
          <w:ilvl w:val="0"/>
          <w:numId w:val="26"/>
        </w:numPr>
        <w:rPr>
          <w:rFonts w:ascii="Times New Roman" w:cs="Times New Roman" w:eastAsia="Times New Roman" w:hAnsi="Times New Roman"/>
          <w:sz w:val="16"/>
          <w:szCs w:val="16"/>
          <w:color w:val="F37F00"/>
        </w:rPr>
      </w:pPr>
      <w:r>
        <w:rPr>
          <w:rFonts w:ascii="Arial" w:cs="Arial" w:eastAsia="Arial" w:hAnsi="Arial"/>
          <w:sz w:val="16"/>
          <w:szCs w:val="16"/>
          <w:color w:val="202124"/>
        </w:rPr>
        <w:t>Automotive</w:t>
      </w:r>
    </w:p>
    <w:p>
      <w:pPr>
        <w:spacing w:after="0" w:line="1141" w:lineRule="exact"/>
        <w:rPr>
          <w:sz w:val="20"/>
          <w:szCs w:val="20"/>
          <w:color w:val="auto"/>
        </w:rPr>
      </w:pPr>
    </w:p>
    <w:p>
      <w:pPr>
        <w:sectPr>
          <w:pgSz w:w="11900" w:h="16838" w:orient="portrait"/>
          <w:cols w:equalWidth="0" w:num="3">
            <w:col w:w="2360" w:space="720"/>
            <w:col w:w="5740" w:space="140"/>
            <w:col w:w="1400"/>
          </w:cols>
          <w:pgMar w:left="440" w:top="106" w:right="1099" w:bottom="1440" w:gutter="0" w:footer="0" w:header="0"/>
          <w:type w:val="continuous"/>
        </w:sectPr>
      </w:pP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202124"/>
        </w:rPr>
        <w:t>QUALIFICATIONS:</w:t>
      </w:r>
    </w:p>
    <w:p>
      <w:pPr>
        <w:spacing w:after="0" w:line="111" w:lineRule="exact"/>
        <w:rPr>
          <w:sz w:val="20"/>
          <w:szCs w:val="20"/>
          <w:color w:val="auto"/>
        </w:rPr>
      </w:pPr>
    </w:p>
    <w:p>
      <w:pPr>
        <w:ind w:left="340" w:right="1820" w:hanging="333"/>
        <w:spacing w:after="0" w:line="253" w:lineRule="auto"/>
        <w:tabs>
          <w:tab w:leader="none" w:pos="340" w:val="left"/>
        </w:tabs>
        <w:numPr>
          <w:ilvl w:val="0"/>
          <w:numId w:val="27"/>
        </w:numPr>
        <w:rPr>
          <w:rFonts w:ascii="Times New Roman" w:cs="Times New Roman" w:eastAsia="Times New Roman" w:hAnsi="Times New Roman"/>
          <w:sz w:val="16"/>
          <w:szCs w:val="16"/>
          <w:color w:val="F37F00"/>
        </w:rPr>
      </w:pPr>
      <w:r>
        <w:rPr>
          <w:rFonts w:ascii="Arial" w:cs="Arial" w:eastAsia="Arial" w:hAnsi="Arial"/>
          <w:sz w:val="16"/>
          <w:szCs w:val="16"/>
          <w:color w:val="202124"/>
        </w:rPr>
        <w:t>33 years of AutoZone tenure with experience leading multiple functional areas, including store operations, merchandising, supply chain and commercial.</w:t>
      </w:r>
    </w:p>
    <w:p>
      <w:pPr>
        <w:ind w:left="340" w:right="1560" w:hanging="333"/>
        <w:spacing w:after="0" w:line="246" w:lineRule="auto"/>
        <w:tabs>
          <w:tab w:leader="none" w:pos="340" w:val="left"/>
        </w:tabs>
        <w:numPr>
          <w:ilvl w:val="0"/>
          <w:numId w:val="27"/>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knowledge of retail operations gained from serving in operational leadership roles of increasing responsibility.</w:t>
      </w:r>
    </w:p>
    <w:p>
      <w:pPr>
        <w:ind w:left="340" w:hanging="333"/>
        <w:spacing w:after="0"/>
        <w:tabs>
          <w:tab w:leader="none" w:pos="340" w:val="left"/>
        </w:tabs>
        <w:numPr>
          <w:ilvl w:val="0"/>
          <w:numId w:val="27"/>
        </w:numPr>
        <w:rPr>
          <w:rFonts w:ascii="Times New Roman" w:cs="Times New Roman" w:eastAsia="Times New Roman" w:hAnsi="Times New Roman"/>
          <w:sz w:val="16"/>
          <w:szCs w:val="16"/>
          <w:color w:val="F37F00"/>
        </w:rPr>
      </w:pPr>
      <w:r>
        <w:rPr>
          <w:rFonts w:ascii="Arial" w:cs="Arial" w:eastAsia="Arial" w:hAnsi="Arial"/>
          <w:sz w:val="16"/>
          <w:szCs w:val="16"/>
          <w:color w:val="202124"/>
        </w:rPr>
        <w:t>Over 40 years of experience in the automotive aftermarket industry.</w:t>
      </w:r>
    </w:p>
    <w:p>
      <w:pPr>
        <w:spacing w:after="0" w:line="200" w:lineRule="exact"/>
        <w:rPr>
          <w:sz w:val="20"/>
          <w:szCs w:val="20"/>
          <w:color w:val="auto"/>
        </w:rPr>
      </w:pPr>
    </w:p>
    <w:p>
      <w:pPr>
        <w:sectPr>
          <w:pgSz w:w="11900" w:h="16838" w:orient="portrait"/>
          <w:cols w:equalWidth="0" w:num="2">
            <w:col w:w="2360" w:space="720"/>
            <w:col w:w="7280"/>
          </w:cols>
          <w:pgMar w:left="440" w:top="106" w:right="1099" w:bottom="1440" w:gutter="0" w:footer="0" w:header="0"/>
          <w:type w:val="continuous"/>
        </w:sectPr>
      </w:pPr>
    </w:p>
    <w:p>
      <w:pPr>
        <w:spacing w:after="0" w:line="23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37F00"/>
        </w:rPr>
        <w:t>MICHAEL A. GEORGE</w:t>
      </w:r>
    </w:p>
    <w:p>
      <w:pPr>
        <w:spacing w:after="0" w:line="12" w:lineRule="exact"/>
        <w:rPr>
          <w:sz w:val="20"/>
          <w:szCs w:val="20"/>
          <w:color w:val="auto"/>
        </w:rPr>
      </w:pPr>
    </w:p>
    <w:p>
      <w:pPr>
        <w:jc w:val="both"/>
        <w:ind w:left="3080"/>
        <w:spacing w:after="0"/>
        <w:tabs>
          <w:tab w:leader="none" w:pos="8880" w:val="left"/>
        </w:tabs>
        <w:rPr>
          <w:sz w:val="20"/>
          <w:szCs w:val="20"/>
          <w:color w:val="auto"/>
        </w:rPr>
      </w:pPr>
      <w:r>
        <w:rPr>
          <w:rFonts w:ascii="Arial" w:cs="Arial" w:eastAsia="Arial" w:hAnsi="Arial"/>
          <w:sz w:val="16"/>
          <w:szCs w:val="16"/>
          <w:b w:val="1"/>
          <w:bCs w:val="1"/>
          <w:color w:val="202124"/>
        </w:rPr>
        <w:t>BIOGRAPHY:</w:t>
      </w:r>
      <w:r>
        <w:rPr>
          <w:sz w:val="20"/>
          <w:szCs w:val="20"/>
          <w:color w:val="auto"/>
        </w:rPr>
        <w:tab/>
      </w:r>
      <w:r>
        <w:rPr>
          <w:rFonts w:ascii="Arial" w:cs="Arial" w:eastAsia="Arial" w:hAnsi="Arial"/>
          <w:sz w:val="32"/>
          <w:szCs w:val="32"/>
          <w:b w:val="1"/>
          <w:bCs w:val="1"/>
          <w:color w:val="202124"/>
          <w:vertAlign w:val="subscript"/>
        </w:rPr>
        <w:t>KEY SKILLS:</w:t>
      </w:r>
    </w:p>
    <w:p>
      <w:pPr>
        <w:sectPr>
          <w:pgSz w:w="11900" w:h="16838" w:orient="portrait"/>
          <w:cols w:equalWidth="0" w:num="1">
            <w:col w:w="1036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960" w:hanging="316"/>
        <w:spacing w:after="0"/>
        <w:tabs>
          <w:tab w:leader="none" w:pos="960" w:val="left"/>
        </w:tabs>
        <w:numPr>
          <w:ilvl w:val="0"/>
          <w:numId w:val="28"/>
        </w:numPr>
        <w:rPr>
          <w:rFonts w:ascii="Times New Roman" w:cs="Times New Roman" w:eastAsia="Times New Roman" w:hAnsi="Times New Roman"/>
          <w:sz w:val="16"/>
          <w:szCs w:val="16"/>
          <w:color w:val="F37F00"/>
        </w:rPr>
      </w:pPr>
      <w:r>
        <w:rPr>
          <w:rFonts w:ascii="Arial" w:cs="Arial" w:eastAsia="Arial" w:hAnsi="Arial"/>
          <w:sz w:val="16"/>
          <w:szCs w:val="16"/>
          <w:color w:val="202124"/>
        </w:rPr>
        <w:t>Audit</w:t>
      </w:r>
    </w:p>
    <w:p>
      <w:pPr>
        <w:spacing w:after="0" w:line="58" w:lineRule="exact"/>
        <w:rPr>
          <w:rFonts w:ascii="Times New Roman" w:cs="Times New Roman" w:eastAsia="Times New Roman" w:hAnsi="Times New Roman"/>
          <w:sz w:val="16"/>
          <w:szCs w:val="16"/>
          <w:color w:val="F37F00"/>
        </w:rPr>
      </w:pPr>
    </w:p>
    <w:p>
      <w:pPr>
        <w:ind w:left="960" w:hanging="316"/>
        <w:spacing w:after="0"/>
        <w:tabs>
          <w:tab w:leader="none" w:pos="960" w:val="left"/>
        </w:tabs>
        <w:numPr>
          <w:ilvl w:val="0"/>
          <w:numId w:val="28"/>
        </w:numPr>
        <w:rPr>
          <w:rFonts w:ascii="Times New Roman" w:cs="Times New Roman" w:eastAsia="Times New Roman" w:hAnsi="Times New Roman"/>
          <w:sz w:val="16"/>
          <w:szCs w:val="16"/>
          <w:color w:val="F37F00"/>
        </w:rPr>
      </w:pPr>
      <w:r>
        <w:rPr>
          <w:rFonts w:ascii="Arial" w:cs="Arial" w:eastAsia="Arial" w:hAnsi="Arial"/>
          <w:sz w:val="16"/>
          <w:szCs w:val="16"/>
          <w:color w:val="202124"/>
        </w:rPr>
        <w:t>Compensation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202124"/>
        </w:rPr>
        <w:t>Mr. George became Chair and Interim Chief Executive Officer of QVC Group, the parent company of QVC in August 2026. He previously served as President and Chief Executive Officer of QVC, when the company was known as Qurate Retail, Inc., from March 2018 to September 2021, and as Chief Executive Officer of QVC from 2005 through July 2021. He previously held various positions with Dell, Inc. from 2001 to 2005, most notably as the Chief Marketing Officer and General Manager of its U.S. consumer business. Prior to that, Mr. George was a senior partner at McKinsey &amp; Company and led the firm’s North American Retail Industry Group.</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6"/>
          <w:szCs w:val="16"/>
          <w:color w:val="202124"/>
        </w:rPr>
        <w:t>As discussed on page 16 of this proxy statement, the Board thoroughly considered Mr. George’s contributions to the Board and his outside professional commitments including as Chair and Interim CEO of QVC Group, in determining that these commitments would not be expected to impair his ability to continue to contribute to the Board. The Board therefore rejected his required resignation from the Board and nominated him again for election at the 2026 Annual Meeting.</w:t>
      </w:r>
    </w:p>
    <w:p>
      <w:pPr>
        <w:spacing w:after="0" w:line="20" w:lineRule="exact"/>
        <w:rPr>
          <w:sz w:val="20"/>
          <w:szCs w:val="20"/>
          <w:color w:val="auto"/>
        </w:rPr>
      </w:pPr>
      <w:r>
        <w:rPr>
          <w:sz w:val="20"/>
          <w:szCs w:val="20"/>
          <w:color w:val="auto"/>
        </w:rPr>
        <w:br w:type="column"/>
      </w:r>
    </w:p>
    <w:p>
      <w:pPr>
        <w:ind w:left="240" w:hanging="240"/>
        <w:spacing w:after="0"/>
        <w:tabs>
          <w:tab w:leader="none" w:pos="240" w:val="left"/>
        </w:tabs>
        <w:numPr>
          <w:ilvl w:val="0"/>
          <w:numId w:val="29"/>
        </w:numPr>
        <w:rPr>
          <w:rFonts w:ascii="Times New Roman" w:cs="Times New Roman" w:eastAsia="Times New Roman" w:hAnsi="Times New Roman"/>
          <w:sz w:val="16"/>
          <w:szCs w:val="16"/>
          <w:color w:val="F37F00"/>
        </w:rPr>
      </w:pPr>
      <w:r>
        <w:rPr>
          <w:rFonts w:ascii="Arial" w:cs="Arial" w:eastAsia="Arial" w:hAnsi="Arial"/>
          <w:sz w:val="16"/>
          <w:szCs w:val="16"/>
          <w:color w:val="202124"/>
        </w:rPr>
        <w:t>CEO</w:t>
      </w:r>
    </w:p>
    <w:p>
      <w:pPr>
        <w:spacing w:after="0" w:line="71" w:lineRule="exact"/>
        <w:rPr>
          <w:rFonts w:ascii="Times New Roman" w:cs="Times New Roman" w:eastAsia="Times New Roman" w:hAnsi="Times New Roman"/>
          <w:sz w:val="16"/>
          <w:szCs w:val="16"/>
          <w:color w:val="F37F00"/>
        </w:rPr>
      </w:pPr>
    </w:p>
    <w:p>
      <w:pPr>
        <w:ind w:left="240" w:hanging="240"/>
        <w:spacing w:after="0"/>
        <w:tabs>
          <w:tab w:leader="none" w:pos="240" w:val="left"/>
        </w:tabs>
        <w:numPr>
          <w:ilvl w:val="0"/>
          <w:numId w:val="29"/>
        </w:numPr>
        <w:rPr>
          <w:rFonts w:ascii="Times New Roman" w:cs="Times New Roman" w:eastAsia="Times New Roman" w:hAnsi="Times New Roman"/>
          <w:sz w:val="16"/>
          <w:szCs w:val="16"/>
          <w:color w:val="F37F00"/>
        </w:rPr>
      </w:pPr>
      <w:r>
        <w:rPr>
          <w:rFonts w:ascii="Arial" w:cs="Arial" w:eastAsia="Arial" w:hAnsi="Arial"/>
          <w:sz w:val="16"/>
          <w:szCs w:val="16"/>
          <w:color w:val="202124"/>
        </w:rPr>
        <w:t>Retail</w:t>
      </w:r>
    </w:p>
    <w:p>
      <w:pPr>
        <w:spacing w:after="0" w:line="71" w:lineRule="exact"/>
        <w:rPr>
          <w:rFonts w:ascii="Times New Roman" w:cs="Times New Roman" w:eastAsia="Times New Roman" w:hAnsi="Times New Roman"/>
          <w:sz w:val="16"/>
          <w:szCs w:val="16"/>
          <w:color w:val="F37F00"/>
        </w:rPr>
      </w:pPr>
    </w:p>
    <w:p>
      <w:pPr>
        <w:ind w:left="240" w:hanging="240"/>
        <w:spacing w:after="0"/>
        <w:tabs>
          <w:tab w:leader="none" w:pos="240" w:val="left"/>
        </w:tabs>
        <w:numPr>
          <w:ilvl w:val="0"/>
          <w:numId w:val="29"/>
        </w:numPr>
        <w:rPr>
          <w:rFonts w:ascii="Times New Roman" w:cs="Times New Roman" w:eastAsia="Times New Roman" w:hAnsi="Times New Roman"/>
          <w:sz w:val="16"/>
          <w:szCs w:val="16"/>
          <w:color w:val="F37F00"/>
        </w:rPr>
      </w:pPr>
      <w:r>
        <w:rPr>
          <w:rFonts w:ascii="Arial" w:cs="Arial" w:eastAsia="Arial" w:hAnsi="Arial"/>
          <w:sz w:val="16"/>
          <w:szCs w:val="16"/>
          <w:color w:val="202124"/>
        </w:rPr>
        <w:t>Marketing</w:t>
      </w:r>
    </w:p>
    <w:p>
      <w:pPr>
        <w:spacing w:after="0" w:line="2501" w:lineRule="exact"/>
        <w:rPr>
          <w:sz w:val="20"/>
          <w:szCs w:val="20"/>
          <w:color w:val="auto"/>
        </w:rPr>
      </w:pPr>
    </w:p>
    <w:p>
      <w:pPr>
        <w:sectPr>
          <w:pgSz w:w="11900" w:h="16838" w:orient="portrait"/>
          <w:cols w:equalWidth="0" w:num="3">
            <w:col w:w="2360" w:space="720"/>
            <w:col w:w="5780" w:space="100"/>
            <w:col w:w="1400"/>
          </w:cols>
          <w:pgMar w:left="440" w:top="106" w:right="1099" w:bottom="1440" w:gutter="0" w:footer="0" w:header="0"/>
          <w:type w:val="continuous"/>
        </w:sectPr>
      </w:pPr>
    </w:p>
    <w:p>
      <w:pPr>
        <w:ind w:left="3080"/>
        <w:spacing w:after="0"/>
        <w:rPr>
          <w:sz w:val="20"/>
          <w:szCs w:val="20"/>
          <w:color w:val="auto"/>
        </w:rPr>
      </w:pPr>
      <w:r>
        <w:rPr>
          <w:rFonts w:ascii="Arial" w:cs="Arial" w:eastAsia="Arial" w:hAnsi="Arial"/>
          <w:sz w:val="16"/>
          <w:szCs w:val="16"/>
          <w:b w:val="1"/>
          <w:bCs w:val="1"/>
          <w:color w:val="202124"/>
        </w:rPr>
        <w:t>QUALIFICATIONS:</w:t>
      </w:r>
    </w:p>
    <w:p>
      <w:pPr>
        <w:spacing w:after="0" w:line="127" w:lineRule="exact"/>
        <w:rPr>
          <w:sz w:val="20"/>
          <w:szCs w:val="20"/>
          <w:color w:val="auto"/>
        </w:rPr>
      </w:pPr>
    </w:p>
    <w:p>
      <w:pPr>
        <w:ind w:left="3080"/>
        <w:spacing w:after="0"/>
        <w:rPr>
          <w:sz w:val="20"/>
          <w:szCs w:val="20"/>
          <w:color w:val="auto"/>
        </w:rPr>
      </w:pPr>
      <w:r>
        <w:rPr>
          <w:rFonts w:ascii="Arial" w:cs="Arial" w:eastAsia="Arial" w:hAnsi="Arial"/>
          <w:sz w:val="16"/>
          <w:szCs w:val="16"/>
          <w:color w:val="202124"/>
        </w:rPr>
        <w:t>Significant experience in the retail industry due to extensive career as Chief</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16"/>
          <w:szCs w:val="16"/>
          <w:color w:val="202124"/>
        </w:rPr>
        <w:t>Executive Officer of QVC/Qurate and serving as leader of McKinsey’s North</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202124"/>
        </w:rPr>
        <w:t>American Retail Industry Group.</w:t>
      </w:r>
    </w:p>
    <w:p>
      <w:pPr>
        <w:spacing w:after="0" w:line="5" w:lineRule="exact"/>
        <w:rPr>
          <w:sz w:val="20"/>
          <w:szCs w:val="20"/>
          <w:color w:val="auto"/>
        </w:rPr>
      </w:pPr>
    </w:p>
    <w:p>
      <w:pPr>
        <w:jc w:val="both"/>
        <w:ind w:left="3420" w:right="1900" w:hanging="333"/>
        <w:spacing w:after="0" w:line="246" w:lineRule="auto"/>
        <w:tabs>
          <w:tab w:leader="none" w:pos="3420" w:val="left"/>
        </w:tabs>
        <w:numPr>
          <w:ilvl w:val="0"/>
          <w:numId w:val="30"/>
        </w:numPr>
        <w:rPr>
          <w:rFonts w:ascii="Times New Roman" w:cs="Times New Roman" w:eastAsia="Times New Roman" w:hAnsi="Times New Roman"/>
          <w:sz w:val="16"/>
          <w:szCs w:val="16"/>
          <w:color w:val="F37F00"/>
        </w:rPr>
      </w:pPr>
      <w:r>
        <w:rPr>
          <w:rFonts w:ascii="Arial" w:cs="Arial" w:eastAsia="Arial" w:hAnsi="Arial"/>
          <w:sz w:val="16"/>
          <w:szCs w:val="16"/>
          <w:color w:val="202124"/>
        </w:rPr>
        <w:t>Brings fresh perspective on issues of marketing, customer experience and e-Commerce, given the unique nature of QVC’s video-driven retail business.</w:t>
      </w:r>
    </w:p>
    <w:p>
      <w:pPr>
        <w:ind w:left="3420" w:right="1680" w:hanging="333"/>
        <w:spacing w:after="0" w:line="264" w:lineRule="auto"/>
        <w:tabs>
          <w:tab w:leader="none" w:pos="3420" w:val="left"/>
        </w:tabs>
        <w:numPr>
          <w:ilvl w:val="0"/>
          <w:numId w:val="30"/>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experience as CEO and a public company director enables him to be an effective and informed contributor to the Board.</w:t>
      </w:r>
    </w:p>
    <w:p>
      <w:pPr>
        <w:spacing w:after="0" w:line="6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400" w:hanging="326"/>
        <w:spacing w:after="0"/>
        <w:tabs>
          <w:tab w:leader="none" w:pos="3400" w:val="left"/>
        </w:tabs>
        <w:numPr>
          <w:ilvl w:val="0"/>
          <w:numId w:val="31"/>
        </w:numPr>
        <w:rPr>
          <w:rFonts w:ascii="Times New Roman" w:cs="Times New Roman" w:eastAsia="Times New Roman" w:hAnsi="Times New Roman"/>
          <w:sz w:val="16"/>
          <w:szCs w:val="16"/>
          <w:color w:val="F37F00"/>
        </w:rPr>
      </w:pPr>
      <w:r>
        <w:rPr>
          <w:rFonts w:ascii="Arial" w:cs="Arial" w:eastAsia="Arial" w:hAnsi="Arial"/>
          <w:sz w:val="16"/>
          <w:szCs w:val="16"/>
          <w:color w:val="202124"/>
        </w:rPr>
        <w:t>QVC Group, Inc. (f/k/a Qurate Retail, Inc.) (2026 – present; 2011- 2021)</w:t>
      </w:r>
    </w:p>
    <w:p>
      <w:pPr>
        <w:spacing w:after="0" w:line="20" w:lineRule="exact"/>
        <w:rPr>
          <w:rFonts w:ascii="Times New Roman" w:cs="Times New Roman" w:eastAsia="Times New Roman" w:hAnsi="Times New Roman"/>
          <w:sz w:val="16"/>
          <w:szCs w:val="16"/>
          <w:color w:val="F37F00"/>
        </w:rPr>
      </w:pPr>
    </w:p>
    <w:p>
      <w:pPr>
        <w:ind w:left="3400" w:hanging="326"/>
        <w:spacing w:after="0"/>
        <w:tabs>
          <w:tab w:leader="none" w:pos="3400" w:val="left"/>
        </w:tabs>
        <w:numPr>
          <w:ilvl w:val="0"/>
          <w:numId w:val="31"/>
        </w:numPr>
        <w:rPr>
          <w:rFonts w:ascii="Times New Roman" w:cs="Times New Roman" w:eastAsia="Times New Roman" w:hAnsi="Times New Roman"/>
          <w:sz w:val="16"/>
          <w:szCs w:val="16"/>
          <w:color w:val="F37F00"/>
        </w:rPr>
      </w:pPr>
      <w:r>
        <w:rPr>
          <w:rFonts w:ascii="Arial" w:cs="Arial" w:eastAsia="Arial" w:hAnsi="Arial"/>
          <w:sz w:val="16"/>
          <w:szCs w:val="16"/>
          <w:color w:val="202124"/>
        </w:rPr>
        <w:t>Ralph Lauren Corp. (2018 –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26   </w:t>
      </w:r>
      <w:r>
        <w:rPr>
          <w:sz w:val="1"/>
          <w:szCs w:val="1"/>
          <w:color w:val="auto"/>
        </w:rPr>
        <w:drawing>
          <wp:inline distT="0" distB="0" distL="0" distR="0">
            <wp:extent cx="116586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7520"/>
        <w:spacing w:after="0"/>
        <w:rPr>
          <w:sz w:val="20"/>
          <w:szCs w:val="20"/>
          <w:color w:val="auto"/>
        </w:rPr>
      </w:pPr>
      <w:r>
        <w:rPr>
          <w:rFonts w:ascii="Arial" w:cs="Arial" w:eastAsia="Arial" w:hAnsi="Arial"/>
          <w:sz w:val="20"/>
          <w:szCs w:val="20"/>
          <w:b w:val="1"/>
          <w:bCs w:val="1"/>
          <w:color w:val="F37F00"/>
        </w:rPr>
        <w:t>LINDA A. GOODSPEED</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960" w:hanging="316"/>
        <w:spacing w:after="0"/>
        <w:tabs>
          <w:tab w:leader="none" w:pos="960" w:val="left"/>
        </w:tabs>
        <w:numPr>
          <w:ilvl w:val="0"/>
          <w:numId w:val="32"/>
        </w:numPr>
        <w:rPr>
          <w:rFonts w:ascii="Times New Roman" w:cs="Times New Roman" w:eastAsia="Times New Roman" w:hAnsi="Times New Roman"/>
          <w:sz w:val="16"/>
          <w:szCs w:val="16"/>
          <w:color w:val="F37F00"/>
        </w:rPr>
      </w:pPr>
      <w:r>
        <w:rPr>
          <w:rFonts w:ascii="Arial" w:cs="Arial" w:eastAsia="Arial" w:hAnsi="Arial"/>
          <w:sz w:val="16"/>
          <w:szCs w:val="16"/>
          <w:color w:val="202124"/>
        </w:rPr>
        <w:t>Audit (Chair)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left="6"/>
        <w:spacing w:after="0" w:line="250" w:lineRule="auto"/>
        <w:rPr>
          <w:sz w:val="20"/>
          <w:szCs w:val="20"/>
          <w:color w:val="auto"/>
        </w:rPr>
      </w:pPr>
      <w:r>
        <w:rPr>
          <w:rFonts w:ascii="Arial" w:cs="Arial" w:eastAsia="Arial" w:hAnsi="Arial"/>
          <w:sz w:val="16"/>
          <w:szCs w:val="16"/>
          <w:color w:val="202124"/>
        </w:rPr>
        <w:t>Ms. Goodspeed served as the Chief Operating Officer and a Managing Partner at WealthStrategies Financial Advisors from 2007 until her retirement in 2017. She had served as Senior Vice President and Chief Information Officer of ServiceMaster from 2011 to 2014. From 2008 to September 2011, Ms. Goodspeed served as Vice President, Information Systems and Chief Information Officer for Nissan North America, Inc., a subsidiary of Nissan Motor Company, a global manufacturer of vehicles. From 2001 to 2008, Ms. Goodspeed served as Executive Vice President and Chief Technology Officer at Lennox International, Inc., a global manufacturer of air conditioning, heating and commercial refrigeration equipment.</w:t>
      </w: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jc w:val="both"/>
        <w:ind w:left="346" w:right="280" w:hanging="319"/>
        <w:spacing w:after="0" w:line="253" w:lineRule="auto"/>
        <w:tabs>
          <w:tab w:leader="none" w:pos="346" w:val="left"/>
        </w:tabs>
        <w:numPr>
          <w:ilvl w:val="1"/>
          <w:numId w:val="33"/>
        </w:numPr>
        <w:rPr>
          <w:rFonts w:ascii="Times New Roman" w:cs="Times New Roman" w:eastAsia="Times New Roman" w:hAnsi="Times New Roman"/>
          <w:sz w:val="16"/>
          <w:szCs w:val="16"/>
          <w:color w:val="F37F00"/>
        </w:rPr>
      </w:pPr>
      <w:r>
        <w:rPr>
          <w:rFonts w:ascii="Arial" w:cs="Arial" w:eastAsia="Arial" w:hAnsi="Arial"/>
          <w:sz w:val="16"/>
          <w:szCs w:val="16"/>
          <w:color w:val="202124"/>
        </w:rPr>
        <w:t>Deep experience with respect to information technology (IT) matters gained from leading complex IT organizations while serving as Chief Information Officer.</w:t>
      </w:r>
    </w:p>
    <w:p>
      <w:pPr>
        <w:ind w:left="346" w:right="60" w:hanging="319"/>
        <w:spacing w:after="0" w:line="246" w:lineRule="auto"/>
        <w:tabs>
          <w:tab w:leader="none" w:pos="346" w:val="left"/>
        </w:tabs>
        <w:numPr>
          <w:ilvl w:val="1"/>
          <w:numId w:val="33"/>
        </w:numPr>
        <w:rPr>
          <w:rFonts w:ascii="Times New Roman" w:cs="Times New Roman" w:eastAsia="Times New Roman" w:hAnsi="Times New Roman"/>
          <w:sz w:val="16"/>
          <w:szCs w:val="16"/>
          <w:color w:val="F37F00"/>
        </w:rPr>
      </w:pPr>
      <w:r>
        <w:rPr>
          <w:rFonts w:ascii="Arial" w:cs="Arial" w:eastAsia="Arial" w:hAnsi="Arial"/>
          <w:sz w:val="16"/>
          <w:szCs w:val="16"/>
          <w:color w:val="202124"/>
        </w:rPr>
        <w:t>Knowledge of automotive industry lends valuable insights into risks and opportunities affecting automotive aftermarket industry.</w:t>
      </w:r>
    </w:p>
    <w:p>
      <w:pPr>
        <w:ind w:left="346" w:right="180" w:hanging="333"/>
        <w:spacing w:after="0" w:line="264" w:lineRule="auto"/>
        <w:tabs>
          <w:tab w:leader="none" w:pos="346" w:val="left"/>
        </w:tabs>
        <w:numPr>
          <w:ilvl w:val="0"/>
          <w:numId w:val="33"/>
        </w:numPr>
        <w:rPr>
          <w:rFonts w:ascii="Times New Roman" w:cs="Times New Roman" w:eastAsia="Times New Roman" w:hAnsi="Times New Roman"/>
          <w:sz w:val="16"/>
          <w:szCs w:val="16"/>
          <w:color w:val="F37F00"/>
        </w:rPr>
      </w:pPr>
      <w:r>
        <w:rPr>
          <w:rFonts w:ascii="Arial" w:cs="Arial" w:eastAsia="Arial" w:hAnsi="Arial"/>
          <w:sz w:val="16"/>
          <w:szCs w:val="16"/>
          <w:color w:val="202124"/>
        </w:rPr>
        <w:t>Experience serving on different public company boards enables her to contribute and serve the Board in a highly effective manner.</w:t>
      </w:r>
    </w:p>
    <w:p>
      <w:pPr>
        <w:spacing w:after="0" w:line="200" w:lineRule="exact"/>
        <w:rPr>
          <w:sz w:val="20"/>
          <w:szCs w:val="20"/>
          <w:color w:val="auto"/>
        </w:rPr>
      </w:pPr>
    </w:p>
    <w:p>
      <w:pPr>
        <w:spacing w:after="0" w:line="24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26" w:hanging="326"/>
        <w:spacing w:after="0"/>
        <w:tabs>
          <w:tab w:leader="none" w:pos="326" w:val="left"/>
        </w:tabs>
        <w:numPr>
          <w:ilvl w:val="0"/>
          <w:numId w:val="34"/>
        </w:numPr>
        <w:rPr>
          <w:rFonts w:ascii="Times New Roman" w:cs="Times New Roman" w:eastAsia="Times New Roman" w:hAnsi="Times New Roman"/>
          <w:sz w:val="16"/>
          <w:szCs w:val="16"/>
          <w:color w:val="F37F00"/>
        </w:rPr>
      </w:pPr>
      <w:r>
        <w:rPr>
          <w:rFonts w:ascii="Arial" w:cs="Arial" w:eastAsia="Arial" w:hAnsi="Arial"/>
          <w:sz w:val="16"/>
          <w:szCs w:val="16"/>
          <w:color w:val="202124"/>
        </w:rPr>
        <w:t>American Electric Power Co., Inc. (2006 – 2024)</w:t>
      </w:r>
    </w:p>
    <w:p>
      <w:pPr>
        <w:spacing w:after="0" w:line="29" w:lineRule="exact"/>
        <w:rPr>
          <w:rFonts w:ascii="Times New Roman" w:cs="Times New Roman" w:eastAsia="Times New Roman" w:hAnsi="Times New Roman"/>
          <w:sz w:val="16"/>
          <w:szCs w:val="16"/>
          <w:color w:val="F37F00"/>
        </w:rPr>
      </w:pPr>
    </w:p>
    <w:p>
      <w:pPr>
        <w:ind w:left="326" w:hanging="326"/>
        <w:spacing w:after="0"/>
        <w:tabs>
          <w:tab w:leader="none" w:pos="326" w:val="left"/>
        </w:tabs>
        <w:numPr>
          <w:ilvl w:val="0"/>
          <w:numId w:val="34"/>
        </w:numPr>
        <w:rPr>
          <w:rFonts w:ascii="Times New Roman" w:cs="Times New Roman" w:eastAsia="Times New Roman" w:hAnsi="Times New Roman"/>
          <w:sz w:val="16"/>
          <w:szCs w:val="16"/>
          <w:color w:val="F37F00"/>
        </w:rPr>
      </w:pPr>
      <w:r>
        <w:rPr>
          <w:rFonts w:ascii="Arial" w:cs="Arial" w:eastAsia="Arial" w:hAnsi="Arial"/>
          <w:sz w:val="16"/>
          <w:szCs w:val="16"/>
          <w:color w:val="202124"/>
        </w:rPr>
        <w:t>Darling Ingredients Inc. (2017 – present)</w:t>
      </w:r>
    </w:p>
    <w:p>
      <w:pPr>
        <w:spacing w:after="0" w:line="17" w:lineRule="exact"/>
        <w:rPr>
          <w:rFonts w:ascii="Times New Roman" w:cs="Times New Roman" w:eastAsia="Times New Roman" w:hAnsi="Times New Roman"/>
          <w:sz w:val="16"/>
          <w:szCs w:val="16"/>
          <w:color w:val="F37F00"/>
        </w:rPr>
      </w:pPr>
    </w:p>
    <w:p>
      <w:pPr>
        <w:ind w:left="326" w:hanging="326"/>
        <w:spacing w:after="0"/>
        <w:tabs>
          <w:tab w:leader="none" w:pos="326" w:val="left"/>
        </w:tabs>
        <w:numPr>
          <w:ilvl w:val="0"/>
          <w:numId w:val="34"/>
        </w:numPr>
        <w:rPr>
          <w:rFonts w:ascii="Times New Roman" w:cs="Times New Roman" w:eastAsia="Times New Roman" w:hAnsi="Times New Roman"/>
          <w:sz w:val="16"/>
          <w:szCs w:val="16"/>
          <w:color w:val="F37F00"/>
        </w:rPr>
      </w:pPr>
      <w:r>
        <w:rPr>
          <w:rFonts w:ascii="Arial" w:cs="Arial" w:eastAsia="Arial" w:hAnsi="Arial"/>
          <w:sz w:val="16"/>
          <w:szCs w:val="16"/>
          <w:color w:val="202124"/>
        </w:rPr>
        <w:t>Williams Industrial Services Group Inc. (2021 – 2023)</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jc w:val="both"/>
        <w:ind w:left="300" w:right="340" w:hanging="240"/>
        <w:spacing w:after="0" w:line="299" w:lineRule="auto"/>
        <w:tabs>
          <w:tab w:leader="none" w:pos="300" w:val="left"/>
        </w:tabs>
        <w:numPr>
          <w:ilvl w:val="0"/>
          <w:numId w:val="35"/>
        </w:numPr>
        <w:rPr>
          <w:rFonts w:ascii="Times New Roman" w:cs="Times New Roman" w:eastAsia="Times New Roman" w:hAnsi="Times New Roman"/>
          <w:sz w:val="15"/>
          <w:szCs w:val="15"/>
          <w:color w:val="F37F00"/>
        </w:rPr>
      </w:pPr>
      <w:r>
        <w:rPr>
          <w:rFonts w:ascii="Arial" w:cs="Arial" w:eastAsia="Arial" w:hAnsi="Arial"/>
          <w:sz w:val="15"/>
          <w:szCs w:val="15"/>
          <w:color w:val="202124"/>
        </w:rPr>
        <w:t>Information Technology</w:t>
      </w:r>
    </w:p>
    <w:p>
      <w:pPr>
        <w:spacing w:after="0" w:line="1" w:lineRule="exact"/>
        <w:rPr>
          <w:rFonts w:ascii="Times New Roman" w:cs="Times New Roman" w:eastAsia="Times New Roman" w:hAnsi="Times New Roman"/>
          <w:sz w:val="15"/>
          <w:szCs w:val="15"/>
          <w:color w:val="F37F00"/>
        </w:rPr>
      </w:pPr>
    </w:p>
    <w:p>
      <w:pPr>
        <w:ind w:left="300" w:hanging="240"/>
        <w:spacing w:after="0"/>
        <w:tabs>
          <w:tab w:leader="none" w:pos="300" w:val="left"/>
        </w:tabs>
        <w:numPr>
          <w:ilvl w:val="0"/>
          <w:numId w:val="35"/>
        </w:numPr>
        <w:rPr>
          <w:rFonts w:ascii="Times New Roman" w:cs="Times New Roman" w:eastAsia="Times New Roman" w:hAnsi="Times New Roman"/>
          <w:sz w:val="16"/>
          <w:szCs w:val="16"/>
          <w:color w:val="F37F00"/>
        </w:rPr>
      </w:pPr>
      <w:r>
        <w:rPr>
          <w:rFonts w:ascii="Arial" w:cs="Arial" w:eastAsia="Arial" w:hAnsi="Arial"/>
          <w:sz w:val="16"/>
          <w:szCs w:val="16"/>
          <w:color w:val="202124"/>
        </w:rPr>
        <w:t>Automotive</w:t>
      </w:r>
    </w:p>
    <w:p>
      <w:pPr>
        <w:spacing w:after="0" w:line="71" w:lineRule="exact"/>
        <w:rPr>
          <w:rFonts w:ascii="Times New Roman" w:cs="Times New Roman" w:eastAsia="Times New Roman" w:hAnsi="Times New Roman"/>
          <w:sz w:val="16"/>
          <w:szCs w:val="16"/>
          <w:color w:val="F37F00"/>
        </w:rPr>
      </w:pPr>
    </w:p>
    <w:p>
      <w:pPr>
        <w:ind w:left="300" w:right="240" w:hanging="240"/>
        <w:spacing w:after="0" w:line="285" w:lineRule="auto"/>
        <w:tabs>
          <w:tab w:leader="none" w:pos="300" w:val="left"/>
        </w:tabs>
        <w:numPr>
          <w:ilvl w:val="0"/>
          <w:numId w:val="35"/>
        </w:numPr>
        <w:rPr>
          <w:rFonts w:ascii="Times New Roman" w:cs="Times New Roman" w:eastAsia="Times New Roman" w:hAnsi="Times New Roman"/>
          <w:sz w:val="16"/>
          <w:szCs w:val="16"/>
          <w:color w:val="F37F00"/>
        </w:rPr>
      </w:pPr>
      <w:r>
        <w:rPr>
          <w:rFonts w:ascii="Arial" w:cs="Arial" w:eastAsia="Arial" w:hAnsi="Arial"/>
          <w:sz w:val="16"/>
          <w:szCs w:val="16"/>
          <w:color w:val="202124"/>
        </w:rPr>
        <w:t>Public Board Experience</w:t>
      </w:r>
    </w:p>
    <w:p>
      <w:pPr>
        <w:spacing w:after="0" w:line="4724" w:lineRule="exact"/>
        <w:rPr>
          <w:sz w:val="20"/>
          <w:szCs w:val="20"/>
          <w:color w:val="auto"/>
        </w:rPr>
      </w:pPr>
    </w:p>
    <w:p>
      <w:pPr>
        <w:sectPr>
          <w:pgSz w:w="11900" w:h="16838" w:orient="portrait"/>
          <w:cols w:equalWidth="0" w:num="3">
            <w:col w:w="2354" w:space="720"/>
            <w:col w:w="5526" w:space="300"/>
            <w:col w:w="1460"/>
          </w:cols>
          <w:pgMar w:left="440" w:top="106" w:right="1099" w:bottom="1440" w:gutter="0" w:footer="0" w:header="0"/>
          <w:type w:val="continuous"/>
        </w:sect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F37F00"/>
        </w:rPr>
        <w:t>EARL G. GRAVES,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2002</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960" w:right="540" w:hanging="316"/>
        <w:spacing w:after="0" w:line="285" w:lineRule="auto"/>
        <w:tabs>
          <w:tab w:leader="none" w:pos="960" w:val="left"/>
        </w:tabs>
        <w:numPr>
          <w:ilvl w:val="0"/>
          <w:numId w:val="36"/>
        </w:numPr>
        <w:rPr>
          <w:rFonts w:ascii="Times New Roman" w:cs="Times New Roman" w:eastAsia="Times New Roman" w:hAnsi="Times New Roman"/>
          <w:sz w:val="16"/>
          <w:szCs w:val="16"/>
          <w:color w:val="F37F00"/>
        </w:rPr>
      </w:pPr>
      <w:r>
        <w:rPr>
          <w:rFonts w:ascii="Arial" w:cs="Arial" w:eastAsia="Arial" w:hAnsi="Arial"/>
          <w:sz w:val="16"/>
          <w:szCs w:val="16"/>
          <w:color w:val="202124"/>
        </w:rPr>
        <w:t>Nominating &amp; Corp Gov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202124"/>
        </w:rPr>
        <w:t>Mr. Graves has been the President and Chief Executive Officer of Black Enterprise, the premier business, investing and wealth-building resource for African Americans providing valuable business information across different content channels. He has served in this role since January 2006 and served as its President and Chief Operating Officer from 1998 to 2006. Mr. Graves has been employed by the same company in various capacities since 1988.</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40" w:right="720" w:hanging="333"/>
        <w:spacing w:after="0" w:line="256" w:lineRule="auto"/>
        <w:tabs>
          <w:tab w:leader="none" w:pos="340" w:val="left"/>
        </w:tabs>
        <w:numPr>
          <w:ilvl w:val="0"/>
          <w:numId w:val="37"/>
        </w:numPr>
        <w:rPr>
          <w:rFonts w:ascii="Times New Roman" w:cs="Times New Roman" w:eastAsia="Times New Roman" w:hAnsi="Times New Roman"/>
          <w:sz w:val="16"/>
          <w:szCs w:val="16"/>
          <w:color w:val="F37F00"/>
        </w:rPr>
      </w:pPr>
      <w:r>
        <w:rPr>
          <w:rFonts w:ascii="Arial" w:cs="Arial" w:eastAsia="Arial" w:hAnsi="Arial"/>
          <w:sz w:val="16"/>
          <w:szCs w:val="16"/>
          <w:color w:val="202124"/>
        </w:rPr>
        <w:t>Significant expertise in marketing, customer insights and brand awareness.</w:t>
      </w:r>
    </w:p>
    <w:p>
      <w:pPr>
        <w:ind w:left="340" w:right="320" w:hanging="333"/>
        <w:spacing w:after="0" w:line="246" w:lineRule="auto"/>
        <w:tabs>
          <w:tab w:leader="none" w:pos="340" w:val="left"/>
        </w:tabs>
        <w:numPr>
          <w:ilvl w:val="0"/>
          <w:numId w:val="37"/>
        </w:numPr>
        <w:rPr>
          <w:rFonts w:ascii="Times New Roman" w:cs="Times New Roman" w:eastAsia="Times New Roman" w:hAnsi="Times New Roman"/>
          <w:sz w:val="16"/>
          <w:szCs w:val="16"/>
          <w:color w:val="F37F00"/>
        </w:rPr>
      </w:pPr>
      <w:r>
        <w:rPr>
          <w:rFonts w:ascii="Arial" w:cs="Arial" w:eastAsia="Arial" w:hAnsi="Arial"/>
          <w:sz w:val="16"/>
          <w:szCs w:val="16"/>
          <w:color w:val="202124"/>
        </w:rPr>
        <w:t>Deep knowledge of human capital management matters gained from extensive career leading Black Enterprise.</w:t>
      </w:r>
    </w:p>
    <w:p>
      <w:pPr>
        <w:ind w:left="340" w:hanging="333"/>
        <w:spacing w:after="0"/>
        <w:tabs>
          <w:tab w:leader="none" w:pos="340" w:val="left"/>
        </w:tabs>
        <w:numPr>
          <w:ilvl w:val="0"/>
          <w:numId w:val="37"/>
        </w:numPr>
        <w:rPr>
          <w:rFonts w:ascii="Times New Roman" w:cs="Times New Roman" w:eastAsia="Times New Roman" w:hAnsi="Times New Roman"/>
          <w:sz w:val="16"/>
          <w:szCs w:val="16"/>
          <w:color w:val="F37F00"/>
        </w:rPr>
      </w:pPr>
      <w:r>
        <w:rPr>
          <w:rFonts w:ascii="Arial" w:cs="Arial" w:eastAsia="Arial" w:hAnsi="Arial"/>
          <w:sz w:val="16"/>
          <w:szCs w:val="16"/>
          <w:color w:val="202124"/>
        </w:rPr>
        <w:t>Vast experience in overseeing and advising on matters of digital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20" w:hanging="267"/>
        <w:spacing w:after="0"/>
        <w:tabs>
          <w:tab w:leader="none" w:pos="320" w:val="left"/>
        </w:tabs>
        <w:numPr>
          <w:ilvl w:val="0"/>
          <w:numId w:val="38"/>
        </w:numPr>
        <w:rPr>
          <w:rFonts w:ascii="Times New Roman" w:cs="Times New Roman" w:eastAsia="Times New Roman" w:hAnsi="Times New Roman"/>
          <w:sz w:val="16"/>
          <w:szCs w:val="16"/>
          <w:color w:val="F37F00"/>
        </w:rPr>
      </w:pPr>
      <w:r>
        <w:rPr>
          <w:rFonts w:ascii="Arial" w:cs="Arial" w:eastAsia="Arial" w:hAnsi="Arial"/>
          <w:sz w:val="16"/>
          <w:szCs w:val="16"/>
          <w:color w:val="202124"/>
        </w:rPr>
        <w:t>CEO</w:t>
      </w:r>
    </w:p>
    <w:p>
      <w:pPr>
        <w:spacing w:after="0" w:line="71" w:lineRule="exact"/>
        <w:rPr>
          <w:rFonts w:ascii="Times New Roman" w:cs="Times New Roman" w:eastAsia="Times New Roman" w:hAnsi="Times New Roman"/>
          <w:sz w:val="16"/>
          <w:szCs w:val="16"/>
          <w:color w:val="F37F00"/>
        </w:rPr>
      </w:pPr>
    </w:p>
    <w:p>
      <w:pPr>
        <w:ind w:left="320" w:hanging="267"/>
        <w:spacing w:after="0"/>
        <w:tabs>
          <w:tab w:leader="none" w:pos="320" w:val="left"/>
        </w:tabs>
        <w:numPr>
          <w:ilvl w:val="0"/>
          <w:numId w:val="38"/>
        </w:numPr>
        <w:rPr>
          <w:rFonts w:ascii="Times New Roman" w:cs="Times New Roman" w:eastAsia="Times New Roman" w:hAnsi="Times New Roman"/>
          <w:sz w:val="16"/>
          <w:szCs w:val="16"/>
          <w:color w:val="F37F00"/>
        </w:rPr>
      </w:pPr>
      <w:r>
        <w:rPr>
          <w:rFonts w:ascii="Arial" w:cs="Arial" w:eastAsia="Arial" w:hAnsi="Arial"/>
          <w:sz w:val="16"/>
          <w:szCs w:val="16"/>
          <w:color w:val="202124"/>
        </w:rPr>
        <w:t>Marketing</w:t>
      </w:r>
    </w:p>
    <w:p>
      <w:pPr>
        <w:spacing w:after="0" w:line="71" w:lineRule="exact"/>
        <w:rPr>
          <w:rFonts w:ascii="Times New Roman" w:cs="Times New Roman" w:eastAsia="Times New Roman" w:hAnsi="Times New Roman"/>
          <w:sz w:val="16"/>
          <w:szCs w:val="16"/>
          <w:color w:val="F37F00"/>
        </w:rPr>
      </w:pPr>
    </w:p>
    <w:p>
      <w:pPr>
        <w:ind w:left="320" w:right="40" w:hanging="267"/>
        <w:spacing w:after="0" w:line="285" w:lineRule="auto"/>
        <w:tabs>
          <w:tab w:leader="none" w:pos="320" w:val="left"/>
        </w:tabs>
        <w:numPr>
          <w:ilvl w:val="0"/>
          <w:numId w:val="38"/>
        </w:numPr>
        <w:rPr>
          <w:rFonts w:ascii="Times New Roman" w:cs="Times New Roman" w:eastAsia="Times New Roman" w:hAnsi="Times New Roman"/>
          <w:sz w:val="16"/>
          <w:szCs w:val="16"/>
          <w:color w:val="F37F00"/>
        </w:rPr>
      </w:pPr>
      <w:r>
        <w:rPr>
          <w:rFonts w:ascii="Arial" w:cs="Arial" w:eastAsia="Arial" w:hAnsi="Arial"/>
          <w:sz w:val="16"/>
          <w:szCs w:val="16"/>
          <w:color w:val="202124"/>
        </w:rPr>
        <w:t>Human Capital Management</w:t>
      </w:r>
    </w:p>
    <w:p>
      <w:pPr>
        <w:spacing w:after="0" w:line="2589" w:lineRule="exact"/>
        <w:rPr>
          <w:sz w:val="20"/>
          <w:szCs w:val="20"/>
          <w:color w:val="auto"/>
        </w:rPr>
      </w:pPr>
    </w:p>
    <w:p>
      <w:pPr>
        <w:sectPr>
          <w:pgSz w:w="11900" w:h="16838" w:orient="portrait"/>
          <w:cols w:equalWidth="0" w:num="3">
            <w:col w:w="2740" w:space="340"/>
            <w:col w:w="5560" w:space="280"/>
            <w:col w:w="144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27</w:t>
            </w:r>
          </w:p>
        </w:tc>
      </w:tr>
    </w:tbl>
    <w:p>
      <w:pPr>
        <w:sectPr>
          <w:pgSz w:w="11900" w:h="16838" w:orient="portrait"/>
          <w:cols w:equalWidth="0" w:num="1">
            <w:col w:w="10360"/>
          </w:cols>
          <w:pgMar w:left="440" w:top="106" w:right="109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5"/>
          <w:szCs w:val="15"/>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-95250</wp:posOffset>
            </wp:positionV>
            <wp:extent cx="723265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ectPr>
          <w:pgSz w:w="11900" w:h="16838" w:orient="portrait"/>
          <w:cols w:equalWidth="0" w:num="1">
            <w:col w:w="10360"/>
          </w:cols>
          <w:pgMar w:left="440" w:top="1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F37F00"/>
        </w:rPr>
        <w:t>BRIAN P. HANNASCH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 (Lead</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Independent Director)</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960" w:hanging="316"/>
        <w:spacing w:after="0"/>
        <w:tabs>
          <w:tab w:leader="none" w:pos="960" w:val="left"/>
        </w:tabs>
        <w:numPr>
          <w:ilvl w:val="0"/>
          <w:numId w:val="39"/>
        </w:numPr>
        <w:rPr>
          <w:rFonts w:ascii="Times New Roman" w:cs="Times New Roman" w:eastAsia="Times New Roman" w:hAnsi="Times New Roman"/>
          <w:sz w:val="16"/>
          <w:szCs w:val="16"/>
          <w:color w:val="F37F00"/>
        </w:rPr>
      </w:pPr>
      <w:r>
        <w:rPr>
          <w:rFonts w:ascii="Arial" w:cs="Arial" w:eastAsia="Arial" w:hAnsi="Arial"/>
          <w:sz w:val="16"/>
          <w:szCs w:val="16"/>
          <w:color w:val="202124"/>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202124"/>
        </w:rPr>
        <w:t>Mr. Hannasch served as President and Chief Executive Officer of Alimentation Couche-Tard, which operates Circle K, a global fuel and convenience retailer, from September 2014 to September 2024. Mr. Hannasch continued as Special Advisor to his successor until October of 2026. Mr. Hannasch joined Couche-Tard in 2001 and served as Chief Operating Officer, Senior Vice President of U.S. Operations and Senior Vice President of Western North America prior to serving as CEO.</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26" w:right="780" w:hanging="326"/>
        <w:spacing w:after="0" w:line="256" w:lineRule="auto"/>
        <w:tabs>
          <w:tab w:leader="none" w:pos="326" w:val="left"/>
        </w:tabs>
        <w:numPr>
          <w:ilvl w:val="0"/>
          <w:numId w:val="40"/>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knowledge of retail operations gained from serving in operational leadership roles of increasing responsibility.</w:t>
      </w:r>
    </w:p>
    <w:p>
      <w:pPr>
        <w:ind w:left="326" w:hanging="326"/>
        <w:spacing w:after="0" w:line="246" w:lineRule="auto"/>
        <w:tabs>
          <w:tab w:leader="none" w:pos="326" w:val="left"/>
        </w:tabs>
        <w:numPr>
          <w:ilvl w:val="0"/>
          <w:numId w:val="40"/>
        </w:numPr>
        <w:rPr>
          <w:rFonts w:ascii="Times New Roman" w:cs="Times New Roman" w:eastAsia="Times New Roman" w:hAnsi="Times New Roman"/>
          <w:sz w:val="16"/>
          <w:szCs w:val="16"/>
          <w:color w:val="F37F00"/>
        </w:rPr>
      </w:pPr>
      <w:r>
        <w:rPr>
          <w:rFonts w:ascii="Arial" w:cs="Arial" w:eastAsia="Arial" w:hAnsi="Arial"/>
          <w:sz w:val="16"/>
          <w:szCs w:val="16"/>
          <w:color w:val="202124"/>
        </w:rPr>
        <w:t>10 years of experience serving as CEO of a public, global, retail enterprise allowing him to offer directly comparable experiences, learnings and insights relating to AutoZone’s business as well as matters of corporate governance.</w:t>
      </w:r>
    </w:p>
    <w:p>
      <w:pPr>
        <w:ind w:left="326" w:right="300" w:hanging="326"/>
        <w:spacing w:after="0" w:line="264" w:lineRule="auto"/>
        <w:tabs>
          <w:tab w:leader="none" w:pos="326" w:val="left"/>
        </w:tabs>
        <w:numPr>
          <w:ilvl w:val="0"/>
          <w:numId w:val="40"/>
        </w:numPr>
        <w:rPr>
          <w:rFonts w:ascii="Times New Roman" w:cs="Times New Roman" w:eastAsia="Times New Roman" w:hAnsi="Times New Roman"/>
          <w:sz w:val="16"/>
          <w:szCs w:val="16"/>
          <w:color w:val="F37F00"/>
        </w:rPr>
      </w:pPr>
      <w:r>
        <w:rPr>
          <w:rFonts w:ascii="Arial" w:cs="Arial" w:eastAsia="Arial" w:hAnsi="Arial"/>
          <w:sz w:val="16"/>
          <w:szCs w:val="16"/>
          <w:color w:val="202124"/>
        </w:rPr>
        <w:t>Led the expansion of Couche-Tard brands into numerous international markets including Europe and Asia.</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26" w:hanging="326"/>
        <w:spacing w:after="0"/>
        <w:tabs>
          <w:tab w:leader="none" w:pos="326" w:val="left"/>
        </w:tabs>
        <w:numPr>
          <w:ilvl w:val="0"/>
          <w:numId w:val="41"/>
        </w:numPr>
        <w:rPr>
          <w:rFonts w:ascii="Times New Roman" w:cs="Times New Roman" w:eastAsia="Times New Roman" w:hAnsi="Times New Roman"/>
          <w:sz w:val="16"/>
          <w:szCs w:val="16"/>
          <w:color w:val="F37F00"/>
        </w:rPr>
      </w:pPr>
      <w:r>
        <w:rPr>
          <w:rFonts w:ascii="Arial" w:cs="Arial" w:eastAsia="Arial" w:hAnsi="Arial"/>
          <w:sz w:val="16"/>
          <w:szCs w:val="16"/>
          <w:color w:val="202124"/>
        </w:rPr>
        <w:t>Alimentation Couche-Tard (2014 –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20" w:hanging="267"/>
        <w:spacing w:after="0"/>
        <w:tabs>
          <w:tab w:leader="none" w:pos="320" w:val="left"/>
        </w:tabs>
        <w:numPr>
          <w:ilvl w:val="0"/>
          <w:numId w:val="42"/>
        </w:numPr>
        <w:rPr>
          <w:rFonts w:ascii="Times New Roman" w:cs="Times New Roman" w:eastAsia="Times New Roman" w:hAnsi="Times New Roman"/>
          <w:sz w:val="16"/>
          <w:szCs w:val="16"/>
          <w:color w:val="F37F00"/>
        </w:rPr>
      </w:pPr>
      <w:r>
        <w:rPr>
          <w:rFonts w:ascii="Arial" w:cs="Arial" w:eastAsia="Arial" w:hAnsi="Arial"/>
          <w:sz w:val="16"/>
          <w:szCs w:val="16"/>
          <w:color w:val="202124"/>
        </w:rPr>
        <w:t>CEO</w:t>
      </w:r>
    </w:p>
    <w:p>
      <w:pPr>
        <w:spacing w:after="0" w:line="71" w:lineRule="exact"/>
        <w:rPr>
          <w:rFonts w:ascii="Times New Roman" w:cs="Times New Roman" w:eastAsia="Times New Roman" w:hAnsi="Times New Roman"/>
          <w:sz w:val="16"/>
          <w:szCs w:val="16"/>
          <w:color w:val="F37F00"/>
        </w:rPr>
      </w:pPr>
    </w:p>
    <w:p>
      <w:pPr>
        <w:ind w:left="320" w:hanging="267"/>
        <w:spacing w:after="0"/>
        <w:tabs>
          <w:tab w:leader="none" w:pos="320" w:val="left"/>
        </w:tabs>
        <w:numPr>
          <w:ilvl w:val="0"/>
          <w:numId w:val="42"/>
        </w:numPr>
        <w:rPr>
          <w:rFonts w:ascii="Times New Roman" w:cs="Times New Roman" w:eastAsia="Times New Roman" w:hAnsi="Times New Roman"/>
          <w:sz w:val="16"/>
          <w:szCs w:val="16"/>
          <w:color w:val="F37F00"/>
        </w:rPr>
      </w:pPr>
      <w:r>
        <w:rPr>
          <w:rFonts w:ascii="Arial" w:cs="Arial" w:eastAsia="Arial" w:hAnsi="Arial"/>
          <w:sz w:val="16"/>
          <w:szCs w:val="16"/>
          <w:color w:val="202124"/>
        </w:rPr>
        <w:t>Operations</w:t>
      </w:r>
    </w:p>
    <w:p>
      <w:pPr>
        <w:spacing w:after="0" w:line="71" w:lineRule="exact"/>
        <w:rPr>
          <w:rFonts w:ascii="Times New Roman" w:cs="Times New Roman" w:eastAsia="Times New Roman" w:hAnsi="Times New Roman"/>
          <w:sz w:val="16"/>
          <w:szCs w:val="16"/>
          <w:color w:val="F37F00"/>
        </w:rPr>
      </w:pPr>
    </w:p>
    <w:p>
      <w:pPr>
        <w:ind w:left="320" w:hanging="267"/>
        <w:spacing w:after="0"/>
        <w:tabs>
          <w:tab w:leader="none" w:pos="320" w:val="left"/>
        </w:tabs>
        <w:numPr>
          <w:ilvl w:val="0"/>
          <w:numId w:val="42"/>
        </w:numPr>
        <w:rPr>
          <w:rFonts w:ascii="Times New Roman" w:cs="Times New Roman" w:eastAsia="Times New Roman" w:hAnsi="Times New Roman"/>
          <w:sz w:val="16"/>
          <w:szCs w:val="16"/>
          <w:color w:val="F37F00"/>
        </w:rPr>
      </w:pPr>
      <w:r>
        <w:rPr>
          <w:rFonts w:ascii="Arial" w:cs="Arial" w:eastAsia="Arial" w:hAnsi="Arial"/>
          <w:sz w:val="16"/>
          <w:szCs w:val="16"/>
          <w:color w:val="202124"/>
        </w:rPr>
        <w:t>International</w:t>
      </w:r>
    </w:p>
    <w:p>
      <w:pPr>
        <w:spacing w:after="0" w:line="3723" w:lineRule="exact"/>
        <w:rPr>
          <w:sz w:val="20"/>
          <w:szCs w:val="20"/>
          <w:color w:val="auto"/>
        </w:rPr>
      </w:pPr>
    </w:p>
    <w:p>
      <w:pPr>
        <w:sectPr>
          <w:pgSz w:w="11900" w:h="16838" w:orient="portrait"/>
          <w:cols w:equalWidth="0" w:num="3">
            <w:col w:w="2680" w:space="394"/>
            <w:col w:w="5646" w:space="200"/>
            <w:col w:w="1440"/>
          </w:cols>
          <w:pgMar w:left="440" w:top="10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37F00"/>
        </w:rPr>
        <w:t>GALE V. 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960" w:right="414" w:hanging="316"/>
        <w:spacing w:after="0" w:line="285" w:lineRule="auto"/>
        <w:tabs>
          <w:tab w:leader="none" w:pos="960" w:val="left"/>
        </w:tabs>
        <w:numPr>
          <w:ilvl w:val="0"/>
          <w:numId w:val="43"/>
        </w:numPr>
        <w:rPr>
          <w:rFonts w:ascii="Times New Roman" w:cs="Times New Roman" w:eastAsia="Times New Roman" w:hAnsi="Times New Roman"/>
          <w:sz w:val="16"/>
          <w:szCs w:val="16"/>
          <w:color w:val="F37F00"/>
        </w:rPr>
      </w:pPr>
      <w:r>
        <w:rPr>
          <w:rFonts w:ascii="Arial" w:cs="Arial" w:eastAsia="Arial" w:hAnsi="Arial"/>
          <w:sz w:val="16"/>
          <w:szCs w:val="16"/>
          <w:color w:val="202124"/>
        </w:rPr>
        <w:t>Nominating &amp; Corp Gov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202124"/>
        </w:rPr>
        <w:t>Ms. King served as the Executive Vice President—Chief Administrative Officer of Nationwide Mutual Insurance Company, a leading financial services company, from 2012 through her retirement in July 2021. She previously served as their Executive Vice President—Chief Human Resources Officer from 2009 to 2012.</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26" w:right="180" w:hanging="326"/>
        <w:spacing w:after="0" w:line="253" w:lineRule="auto"/>
        <w:tabs>
          <w:tab w:leader="none" w:pos="326" w:val="left"/>
        </w:tabs>
        <w:numPr>
          <w:ilvl w:val="0"/>
          <w:numId w:val="44"/>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experience in human resources providing critical insights into recruitment, retention, training and development and other issues of human capital management.</w:t>
      </w:r>
    </w:p>
    <w:p>
      <w:pPr>
        <w:ind w:left="326" w:hanging="326"/>
        <w:spacing w:after="0" w:line="246" w:lineRule="auto"/>
        <w:tabs>
          <w:tab w:leader="none" w:pos="326" w:val="left"/>
        </w:tabs>
        <w:numPr>
          <w:ilvl w:val="0"/>
          <w:numId w:val="44"/>
        </w:numPr>
        <w:rPr>
          <w:rFonts w:ascii="Times New Roman" w:cs="Times New Roman" w:eastAsia="Times New Roman" w:hAnsi="Times New Roman"/>
          <w:sz w:val="16"/>
          <w:szCs w:val="16"/>
          <w:color w:val="F37F00"/>
        </w:rPr>
      </w:pPr>
      <w:r>
        <w:rPr>
          <w:rFonts w:ascii="Arial" w:cs="Arial" w:eastAsia="Arial" w:hAnsi="Arial"/>
          <w:sz w:val="16"/>
          <w:szCs w:val="16"/>
          <w:color w:val="202124"/>
        </w:rPr>
        <w:t>Served as chair of Board’s ad hoc CEO succession planning committee culminating in the June 2023 announcement of Mr. Daniele as CEO-Elect.</w:t>
      </w:r>
    </w:p>
    <w:p>
      <w:pPr>
        <w:ind w:left="326" w:right="280" w:hanging="326"/>
        <w:spacing w:after="0" w:line="264" w:lineRule="auto"/>
        <w:tabs>
          <w:tab w:leader="none" w:pos="326" w:val="left"/>
        </w:tabs>
        <w:numPr>
          <w:ilvl w:val="0"/>
          <w:numId w:val="44"/>
        </w:numPr>
        <w:rPr>
          <w:rFonts w:ascii="Times New Roman" w:cs="Times New Roman" w:eastAsia="Times New Roman" w:hAnsi="Times New Roman"/>
          <w:sz w:val="16"/>
          <w:szCs w:val="16"/>
          <w:color w:val="F37F00"/>
        </w:rPr>
      </w:pPr>
      <w:r>
        <w:rPr>
          <w:rFonts w:ascii="Arial" w:cs="Arial" w:eastAsia="Arial" w:hAnsi="Arial"/>
          <w:sz w:val="16"/>
          <w:szCs w:val="16"/>
          <w:color w:val="202124"/>
        </w:rPr>
        <w:t>Experience serving on different public company boards enables her to contribute and serve the Board in a highly effective manner.</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26" w:hanging="326"/>
        <w:spacing w:after="0"/>
        <w:tabs>
          <w:tab w:leader="none" w:pos="326" w:val="left"/>
        </w:tabs>
        <w:numPr>
          <w:ilvl w:val="0"/>
          <w:numId w:val="45"/>
        </w:numPr>
        <w:rPr>
          <w:rFonts w:ascii="Times New Roman" w:cs="Times New Roman" w:eastAsia="Times New Roman" w:hAnsi="Times New Roman"/>
          <w:sz w:val="16"/>
          <w:szCs w:val="16"/>
          <w:color w:val="F37F00"/>
        </w:rPr>
      </w:pPr>
      <w:r>
        <w:rPr>
          <w:rFonts w:ascii="Arial" w:cs="Arial" w:eastAsia="Arial" w:hAnsi="Arial"/>
          <w:sz w:val="16"/>
          <w:szCs w:val="16"/>
          <w:color w:val="202124"/>
        </w:rPr>
        <w:t>J.B. Hunt Transport Services, Inc. (2020 – 2023)</w:t>
      </w:r>
    </w:p>
    <w:p>
      <w:pPr>
        <w:spacing w:after="0" w:line="29" w:lineRule="exact"/>
        <w:rPr>
          <w:rFonts w:ascii="Times New Roman" w:cs="Times New Roman" w:eastAsia="Times New Roman" w:hAnsi="Times New Roman"/>
          <w:sz w:val="16"/>
          <w:szCs w:val="16"/>
          <w:color w:val="F37F00"/>
        </w:rPr>
      </w:pPr>
    </w:p>
    <w:p>
      <w:pPr>
        <w:ind w:left="326" w:hanging="326"/>
        <w:spacing w:after="0"/>
        <w:tabs>
          <w:tab w:leader="none" w:pos="326" w:val="left"/>
        </w:tabs>
        <w:numPr>
          <w:ilvl w:val="0"/>
          <w:numId w:val="45"/>
        </w:numPr>
        <w:rPr>
          <w:rFonts w:ascii="Times New Roman" w:cs="Times New Roman" w:eastAsia="Times New Roman" w:hAnsi="Times New Roman"/>
          <w:sz w:val="16"/>
          <w:szCs w:val="16"/>
          <w:color w:val="F37F00"/>
        </w:rPr>
      </w:pPr>
      <w:r>
        <w:rPr>
          <w:rFonts w:ascii="Arial" w:cs="Arial" w:eastAsia="Arial" w:hAnsi="Arial"/>
          <w:sz w:val="16"/>
          <w:szCs w:val="16"/>
          <w:color w:val="202124"/>
        </w:rPr>
        <w:t>Unum Group (2022 –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00" w:right="80" w:hanging="240"/>
        <w:spacing w:after="0" w:line="281" w:lineRule="auto"/>
        <w:tabs>
          <w:tab w:leader="none" w:pos="300" w:val="left"/>
        </w:tabs>
        <w:numPr>
          <w:ilvl w:val="0"/>
          <w:numId w:val="46"/>
        </w:numPr>
        <w:rPr>
          <w:rFonts w:ascii="Times New Roman" w:cs="Times New Roman" w:eastAsia="Times New Roman" w:hAnsi="Times New Roman"/>
          <w:sz w:val="16"/>
          <w:szCs w:val="16"/>
          <w:color w:val="F37F00"/>
        </w:rPr>
      </w:pPr>
      <w:r>
        <w:rPr>
          <w:rFonts w:ascii="Arial" w:cs="Arial" w:eastAsia="Arial" w:hAnsi="Arial"/>
          <w:sz w:val="16"/>
          <w:szCs w:val="16"/>
          <w:color w:val="202124"/>
        </w:rPr>
        <w:t>Human Capital Management</w:t>
      </w:r>
    </w:p>
    <w:p>
      <w:pPr>
        <w:ind w:left="300" w:right="240" w:hanging="240"/>
        <w:spacing w:after="0" w:line="285" w:lineRule="auto"/>
        <w:tabs>
          <w:tab w:leader="none" w:pos="300" w:val="left"/>
        </w:tabs>
        <w:numPr>
          <w:ilvl w:val="0"/>
          <w:numId w:val="46"/>
        </w:numPr>
        <w:rPr>
          <w:rFonts w:ascii="Times New Roman" w:cs="Times New Roman" w:eastAsia="Times New Roman" w:hAnsi="Times New Roman"/>
          <w:sz w:val="16"/>
          <w:szCs w:val="16"/>
          <w:color w:val="F37F00"/>
        </w:rPr>
      </w:pPr>
      <w:r>
        <w:rPr>
          <w:rFonts w:ascii="Arial" w:cs="Arial" w:eastAsia="Arial" w:hAnsi="Arial"/>
          <w:sz w:val="16"/>
          <w:szCs w:val="16"/>
          <w:color w:val="202124"/>
        </w:rPr>
        <w:t>Public Board Experience</w:t>
      </w:r>
    </w:p>
    <w:p>
      <w:pPr>
        <w:spacing w:after="0" w:line="3158" w:lineRule="exact"/>
        <w:rPr>
          <w:sz w:val="20"/>
          <w:szCs w:val="20"/>
          <w:color w:val="auto"/>
        </w:rPr>
      </w:pPr>
    </w:p>
    <w:p>
      <w:pPr>
        <w:sectPr>
          <w:pgSz w:w="11900" w:h="16838" w:orient="portrait"/>
          <w:cols w:equalWidth="0" w:num="3">
            <w:col w:w="2354" w:space="720"/>
            <w:col w:w="5626" w:space="200"/>
            <w:col w:w="1460"/>
          </w:cols>
          <w:pgMar w:left="440" w:top="10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28   </w:t>
      </w:r>
      <w:r>
        <w:rPr>
          <w:sz w:val="1"/>
          <w:szCs w:val="1"/>
          <w:color w:val="auto"/>
        </w:rPr>
        <w:drawing>
          <wp:inline distT="0" distB="0" distL="0" distR="0">
            <wp:extent cx="11658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8" w:right="109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7180"/>
        <w:spacing w:after="0"/>
        <w:rPr>
          <w:sz w:val="20"/>
          <w:szCs w:val="20"/>
          <w:color w:val="auto"/>
        </w:rPr>
      </w:pPr>
      <w:r>
        <w:rPr>
          <w:rFonts w:ascii="Arial" w:cs="Arial" w:eastAsia="Arial" w:hAnsi="Arial"/>
          <w:sz w:val="20"/>
          <w:szCs w:val="20"/>
          <w:b w:val="1"/>
          <w:bCs w:val="1"/>
          <w:color w:val="F37F00"/>
        </w:rPr>
        <w:t>GEORGE R. MRKONIC, JR.</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960" w:hanging="316"/>
        <w:spacing w:after="0"/>
        <w:tabs>
          <w:tab w:leader="none" w:pos="960" w:val="left"/>
        </w:tabs>
        <w:numPr>
          <w:ilvl w:val="0"/>
          <w:numId w:val="47"/>
        </w:numPr>
        <w:rPr>
          <w:rFonts w:ascii="Times New Roman" w:cs="Times New Roman" w:eastAsia="Times New Roman" w:hAnsi="Times New Roman"/>
          <w:sz w:val="16"/>
          <w:szCs w:val="16"/>
          <w:color w:val="F37F00"/>
        </w:rPr>
      </w:pPr>
      <w:r>
        <w:rPr>
          <w:rFonts w:ascii="Arial" w:cs="Arial" w:eastAsia="Arial" w:hAnsi="Arial"/>
          <w:sz w:val="16"/>
          <w:szCs w:val="16"/>
          <w:color w:val="202124"/>
        </w:rPr>
        <w:t>Audit</w:t>
      </w:r>
    </w:p>
    <w:p>
      <w:pPr>
        <w:spacing w:after="0" w:line="29" w:lineRule="exact"/>
        <w:rPr>
          <w:rFonts w:ascii="Times New Roman" w:cs="Times New Roman" w:eastAsia="Times New Roman" w:hAnsi="Times New Roman"/>
          <w:sz w:val="16"/>
          <w:szCs w:val="16"/>
          <w:color w:val="F37F00"/>
        </w:rPr>
      </w:pPr>
    </w:p>
    <w:p>
      <w:pPr>
        <w:ind w:left="960" w:hanging="316"/>
        <w:spacing w:after="0"/>
        <w:tabs>
          <w:tab w:leader="none" w:pos="960" w:val="left"/>
        </w:tabs>
        <w:numPr>
          <w:ilvl w:val="0"/>
          <w:numId w:val="47"/>
        </w:numPr>
        <w:rPr>
          <w:rFonts w:ascii="Times New Roman" w:cs="Times New Roman" w:eastAsia="Times New Roman" w:hAnsi="Times New Roman"/>
          <w:sz w:val="16"/>
          <w:szCs w:val="16"/>
          <w:color w:val="F37F00"/>
        </w:rPr>
      </w:pPr>
      <w:r>
        <w:rPr>
          <w:rFonts w:ascii="Arial" w:cs="Arial" w:eastAsia="Arial" w:hAnsi="Arial"/>
          <w:sz w:val="16"/>
          <w:szCs w:val="16"/>
          <w:color w:val="202124"/>
        </w:rPr>
        <w:t>Compensation (Chair)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202124"/>
        </w:rPr>
        <w:t>Mr. Mrkonic is the retired non-Executive Chairman of Maru Group, a London, UK based research, insight and advisory services firm. Previously, he was the Non-Executive Chairman of Paperchase Products Limited, London, UK, a retailer of cards, stationery, wraps and gifts in the UK, Europe and the Middle East from 2005 to 2019, and had been a director since 1999. Prior to that, he was President of Borders Group, Inc. from 1994 to 1997 and Vice Chairman from 1994 to 2002.</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26" w:right="340" w:hanging="326"/>
        <w:spacing w:after="0" w:line="256" w:lineRule="auto"/>
        <w:tabs>
          <w:tab w:leader="none" w:pos="326" w:val="left"/>
        </w:tabs>
        <w:numPr>
          <w:ilvl w:val="0"/>
          <w:numId w:val="48"/>
        </w:numPr>
        <w:rPr>
          <w:rFonts w:ascii="Times New Roman" w:cs="Times New Roman" w:eastAsia="Times New Roman" w:hAnsi="Times New Roman"/>
          <w:sz w:val="16"/>
          <w:szCs w:val="16"/>
          <w:color w:val="F37F00"/>
        </w:rPr>
      </w:pPr>
      <w:r>
        <w:rPr>
          <w:rFonts w:ascii="Arial" w:cs="Arial" w:eastAsia="Arial" w:hAnsi="Arial"/>
          <w:sz w:val="16"/>
          <w:szCs w:val="16"/>
          <w:color w:val="202124"/>
        </w:rPr>
        <w:t>Vast retail experience gained from serving as a senior executive and board member at several retail companies.</w:t>
      </w:r>
    </w:p>
    <w:p>
      <w:pPr>
        <w:ind w:left="326" w:right="160" w:hanging="326"/>
        <w:spacing w:after="0" w:line="246" w:lineRule="auto"/>
        <w:tabs>
          <w:tab w:leader="none" w:pos="326" w:val="left"/>
        </w:tabs>
        <w:numPr>
          <w:ilvl w:val="0"/>
          <w:numId w:val="48"/>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knowledge and understanding of corporate strategy, finance, governance and compensation programs.</w:t>
      </w:r>
    </w:p>
    <w:p>
      <w:pPr>
        <w:ind w:left="326" w:right="380" w:hanging="326"/>
        <w:spacing w:after="0" w:line="264" w:lineRule="auto"/>
        <w:tabs>
          <w:tab w:leader="none" w:pos="326" w:val="left"/>
        </w:tabs>
        <w:numPr>
          <w:ilvl w:val="0"/>
          <w:numId w:val="48"/>
        </w:numPr>
        <w:rPr>
          <w:rFonts w:ascii="Times New Roman" w:cs="Times New Roman" w:eastAsia="Times New Roman" w:hAnsi="Times New Roman"/>
          <w:sz w:val="16"/>
          <w:szCs w:val="16"/>
          <w:color w:val="F37F00"/>
        </w:rPr>
      </w:pPr>
      <w:r>
        <w:rPr>
          <w:rFonts w:ascii="Arial" w:cs="Arial" w:eastAsia="Arial" w:hAnsi="Arial"/>
          <w:sz w:val="16"/>
          <w:szCs w:val="16"/>
          <w:color w:val="202124"/>
        </w:rPr>
        <w:t>Served on multiple public company boards allowing for relevant and informed insights and learnings.</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26" w:hanging="326"/>
        <w:spacing w:after="0"/>
        <w:tabs>
          <w:tab w:leader="none" w:pos="326" w:val="left"/>
        </w:tabs>
        <w:numPr>
          <w:ilvl w:val="0"/>
          <w:numId w:val="49"/>
        </w:numPr>
        <w:rPr>
          <w:rFonts w:ascii="Times New Roman" w:cs="Times New Roman" w:eastAsia="Times New Roman" w:hAnsi="Times New Roman"/>
          <w:sz w:val="16"/>
          <w:szCs w:val="16"/>
          <w:color w:val="F37F00"/>
        </w:rPr>
      </w:pPr>
      <w:r>
        <w:rPr>
          <w:rFonts w:ascii="Arial" w:cs="Arial" w:eastAsia="Arial" w:hAnsi="Arial"/>
          <w:sz w:val="16"/>
          <w:szCs w:val="16"/>
          <w:color w:val="202124"/>
        </w:rPr>
        <w:t>Ulta Beauty, Inc. (2015 – present)</w:t>
      </w:r>
    </w:p>
    <w:p>
      <w:pPr>
        <w:spacing w:after="0" w:line="29" w:lineRule="exact"/>
        <w:rPr>
          <w:rFonts w:ascii="Times New Roman" w:cs="Times New Roman" w:eastAsia="Times New Roman" w:hAnsi="Times New Roman"/>
          <w:sz w:val="16"/>
          <w:szCs w:val="16"/>
          <w:color w:val="F37F00"/>
        </w:rPr>
      </w:pPr>
    </w:p>
    <w:p>
      <w:pPr>
        <w:ind w:left="326" w:hanging="326"/>
        <w:spacing w:after="0"/>
        <w:tabs>
          <w:tab w:leader="none" w:pos="326" w:val="left"/>
        </w:tabs>
        <w:numPr>
          <w:ilvl w:val="0"/>
          <w:numId w:val="49"/>
        </w:numPr>
        <w:rPr>
          <w:rFonts w:ascii="Times New Roman" w:cs="Times New Roman" w:eastAsia="Times New Roman" w:hAnsi="Times New Roman"/>
          <w:sz w:val="16"/>
          <w:szCs w:val="16"/>
          <w:color w:val="F37F00"/>
        </w:rPr>
      </w:pPr>
      <w:r>
        <w:rPr>
          <w:rFonts w:ascii="Arial" w:cs="Arial" w:eastAsia="Arial" w:hAnsi="Arial"/>
          <w:sz w:val="16"/>
          <w:szCs w:val="16"/>
          <w:color w:val="202124"/>
        </w:rPr>
        <w:t>Brinker International, Inc. (2003 – 2021)</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40" w:right="220" w:hanging="280"/>
        <w:spacing w:after="0" w:line="299" w:lineRule="auto"/>
        <w:tabs>
          <w:tab w:leader="none" w:pos="340" w:val="left"/>
        </w:tabs>
        <w:numPr>
          <w:ilvl w:val="0"/>
          <w:numId w:val="50"/>
        </w:numPr>
        <w:rPr>
          <w:rFonts w:ascii="Times New Roman" w:cs="Times New Roman" w:eastAsia="Times New Roman" w:hAnsi="Times New Roman"/>
          <w:sz w:val="15"/>
          <w:szCs w:val="15"/>
          <w:color w:val="F37F00"/>
        </w:rPr>
      </w:pPr>
      <w:r>
        <w:rPr>
          <w:rFonts w:ascii="Arial" w:cs="Arial" w:eastAsia="Arial" w:hAnsi="Arial"/>
          <w:sz w:val="15"/>
          <w:szCs w:val="15"/>
          <w:color w:val="202124"/>
        </w:rPr>
        <w:t>Public Board Experience</w:t>
      </w:r>
    </w:p>
    <w:p>
      <w:pPr>
        <w:spacing w:after="0" w:line="1" w:lineRule="exact"/>
        <w:rPr>
          <w:rFonts w:ascii="Times New Roman" w:cs="Times New Roman" w:eastAsia="Times New Roman" w:hAnsi="Times New Roman"/>
          <w:sz w:val="15"/>
          <w:szCs w:val="15"/>
          <w:color w:val="F37F00"/>
        </w:rPr>
      </w:pPr>
    </w:p>
    <w:p>
      <w:pPr>
        <w:ind w:left="340" w:right="120" w:hanging="280"/>
        <w:spacing w:after="0" w:line="299" w:lineRule="auto"/>
        <w:tabs>
          <w:tab w:leader="none" w:pos="340" w:val="left"/>
        </w:tabs>
        <w:numPr>
          <w:ilvl w:val="0"/>
          <w:numId w:val="50"/>
        </w:numPr>
        <w:rPr>
          <w:rFonts w:ascii="Times New Roman" w:cs="Times New Roman" w:eastAsia="Times New Roman" w:hAnsi="Times New Roman"/>
          <w:sz w:val="15"/>
          <w:szCs w:val="15"/>
          <w:color w:val="F37F00"/>
        </w:rPr>
      </w:pPr>
      <w:r>
        <w:rPr>
          <w:rFonts w:ascii="Arial" w:cs="Arial" w:eastAsia="Arial" w:hAnsi="Arial"/>
          <w:sz w:val="15"/>
          <w:szCs w:val="15"/>
          <w:color w:val="202124"/>
        </w:rPr>
        <w:t>Strategy / Bus Development</w:t>
      </w:r>
    </w:p>
    <w:p>
      <w:pPr>
        <w:spacing w:after="0" w:line="1" w:lineRule="exact"/>
        <w:rPr>
          <w:rFonts w:ascii="Times New Roman" w:cs="Times New Roman" w:eastAsia="Times New Roman" w:hAnsi="Times New Roman"/>
          <w:sz w:val="15"/>
          <w:szCs w:val="15"/>
          <w:color w:val="F37F00"/>
        </w:rPr>
      </w:pPr>
    </w:p>
    <w:p>
      <w:pPr>
        <w:ind w:left="340" w:hanging="280"/>
        <w:spacing w:after="0"/>
        <w:tabs>
          <w:tab w:leader="none" w:pos="340" w:val="left"/>
        </w:tabs>
        <w:numPr>
          <w:ilvl w:val="0"/>
          <w:numId w:val="50"/>
        </w:numPr>
        <w:rPr>
          <w:rFonts w:ascii="Times New Roman" w:cs="Times New Roman" w:eastAsia="Times New Roman" w:hAnsi="Times New Roman"/>
          <w:sz w:val="16"/>
          <w:szCs w:val="16"/>
          <w:color w:val="F37F00"/>
        </w:rPr>
      </w:pPr>
      <w:r>
        <w:rPr>
          <w:rFonts w:ascii="Arial" w:cs="Arial" w:eastAsia="Arial" w:hAnsi="Arial"/>
          <w:sz w:val="16"/>
          <w:szCs w:val="16"/>
          <w:color w:val="202124"/>
        </w:rPr>
        <w:t>Retail</w:t>
      </w:r>
    </w:p>
    <w:p>
      <w:pPr>
        <w:spacing w:after="0" w:line="3168" w:lineRule="exact"/>
        <w:rPr>
          <w:sz w:val="20"/>
          <w:szCs w:val="20"/>
          <w:color w:val="auto"/>
        </w:rPr>
      </w:pPr>
    </w:p>
    <w:p>
      <w:pPr>
        <w:sectPr>
          <w:pgSz w:w="11900" w:h="16838" w:orient="portrait"/>
          <w:cols w:equalWidth="0" w:num="3">
            <w:col w:w="2560" w:space="514"/>
            <w:col w:w="5566" w:space="260"/>
            <w:col w:w="1460"/>
          </w:cols>
          <w:pgMar w:left="440" w:top="106" w:right="109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F37F00"/>
        </w:rPr>
        <w:t>WILLIAM C. RHODES,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2005</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202124"/>
        </w:rPr>
        <w:t>Mr. Rhodes serves as Chairman of the Board. As part of the CEO succession transition, Mr. Rhodes served as Executive Chairman from January 2024 until January 2026. Prior to that, Mr. Rhodes served as AutoZone’s President and Chief Executive Officer, and a director since 2005 and was named Chairman in 2007. Previously, he served in various capacities of increasing responsibility within the Company since 1994. Prior to 1994, Mr. Rhodes was a manager with Ernst &amp; Young LLP.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40" w:right="20" w:hanging="333"/>
        <w:spacing w:after="0" w:line="256" w:lineRule="auto"/>
        <w:tabs>
          <w:tab w:leader="none" w:pos="340" w:val="left"/>
        </w:tabs>
        <w:numPr>
          <w:ilvl w:val="0"/>
          <w:numId w:val="51"/>
        </w:numPr>
        <w:rPr>
          <w:rFonts w:ascii="Times New Roman" w:cs="Times New Roman" w:eastAsia="Times New Roman" w:hAnsi="Times New Roman"/>
          <w:sz w:val="16"/>
          <w:szCs w:val="16"/>
          <w:color w:val="F37F00"/>
        </w:rPr>
      </w:pPr>
      <w:r>
        <w:rPr>
          <w:rFonts w:ascii="Arial" w:cs="Arial" w:eastAsia="Arial" w:hAnsi="Arial"/>
          <w:sz w:val="16"/>
          <w:szCs w:val="16"/>
          <w:color w:val="202124"/>
        </w:rPr>
        <w:t>30+ years of AutoZone tenure, including nearly 19 years as President and Chief Executive Officer.</w:t>
      </w:r>
    </w:p>
    <w:p>
      <w:pPr>
        <w:ind w:left="340" w:right="240" w:hanging="333"/>
        <w:spacing w:after="0" w:line="246" w:lineRule="auto"/>
        <w:tabs>
          <w:tab w:leader="none" w:pos="340" w:val="left"/>
        </w:tabs>
        <w:numPr>
          <w:ilvl w:val="0"/>
          <w:numId w:val="51"/>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knowledge and understanding of the automotive aftermarket industry domestically and internationally.</w:t>
      </w:r>
    </w:p>
    <w:p>
      <w:pPr>
        <w:ind w:left="340" w:hanging="333"/>
        <w:spacing w:after="0" w:line="246" w:lineRule="auto"/>
        <w:tabs>
          <w:tab w:leader="none" w:pos="340" w:val="left"/>
        </w:tabs>
        <w:numPr>
          <w:ilvl w:val="0"/>
          <w:numId w:val="51"/>
        </w:numPr>
        <w:rPr>
          <w:rFonts w:ascii="Times New Roman" w:cs="Times New Roman" w:eastAsia="Times New Roman" w:hAnsi="Times New Roman"/>
          <w:sz w:val="16"/>
          <w:szCs w:val="16"/>
          <w:color w:val="F37F00"/>
        </w:rPr>
      </w:pPr>
      <w:r>
        <w:rPr>
          <w:rFonts w:ascii="Arial" w:cs="Arial" w:eastAsia="Arial" w:hAnsi="Arial"/>
          <w:sz w:val="16"/>
          <w:szCs w:val="16"/>
          <w:color w:val="202124"/>
        </w:rPr>
        <w:t>Expertise in the retail industry gained from AutoZone tenure, prior retail board experience and leadership experience at retail industry trade group.</w:t>
      </w:r>
    </w:p>
    <w:p>
      <w:pPr>
        <w:ind w:left="340" w:hanging="333"/>
        <w:spacing w:after="0"/>
        <w:tabs>
          <w:tab w:leader="none" w:pos="340" w:val="left"/>
        </w:tabs>
        <w:numPr>
          <w:ilvl w:val="0"/>
          <w:numId w:val="51"/>
        </w:numPr>
        <w:rPr>
          <w:rFonts w:ascii="Times New Roman" w:cs="Times New Roman" w:eastAsia="Times New Roman" w:hAnsi="Times New Roman"/>
          <w:sz w:val="16"/>
          <w:szCs w:val="16"/>
          <w:color w:val="F37F00"/>
        </w:rPr>
      </w:pPr>
      <w:r>
        <w:rPr>
          <w:rFonts w:ascii="Arial" w:cs="Arial" w:eastAsia="Arial" w:hAnsi="Arial"/>
          <w:sz w:val="16"/>
          <w:szCs w:val="16"/>
          <w:color w:val="202124"/>
        </w:rPr>
        <w:t>Strong financial expertise to drive long-term profitable growth.</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40" w:hanging="333"/>
        <w:spacing w:after="0"/>
        <w:tabs>
          <w:tab w:leader="none" w:pos="340" w:val="left"/>
        </w:tabs>
        <w:numPr>
          <w:ilvl w:val="0"/>
          <w:numId w:val="52"/>
        </w:numPr>
        <w:rPr>
          <w:rFonts w:ascii="Times New Roman" w:cs="Times New Roman" w:eastAsia="Times New Roman" w:hAnsi="Times New Roman"/>
          <w:sz w:val="16"/>
          <w:szCs w:val="16"/>
          <w:color w:val="F37F00"/>
        </w:rPr>
      </w:pPr>
      <w:r>
        <w:rPr>
          <w:rFonts w:ascii="Arial" w:cs="Arial" w:eastAsia="Arial" w:hAnsi="Arial"/>
          <w:sz w:val="16"/>
          <w:szCs w:val="16"/>
          <w:color w:val="202124"/>
        </w:rPr>
        <w:t>Regions Financial Corp. (2024 – present)</w:t>
      </w:r>
    </w:p>
    <w:p>
      <w:pPr>
        <w:spacing w:after="0" w:line="29" w:lineRule="exact"/>
        <w:rPr>
          <w:rFonts w:ascii="Times New Roman" w:cs="Times New Roman" w:eastAsia="Times New Roman" w:hAnsi="Times New Roman"/>
          <w:sz w:val="16"/>
          <w:szCs w:val="16"/>
          <w:color w:val="F37F00"/>
        </w:rPr>
      </w:pPr>
    </w:p>
    <w:p>
      <w:pPr>
        <w:ind w:left="340" w:hanging="333"/>
        <w:spacing w:after="0"/>
        <w:tabs>
          <w:tab w:leader="none" w:pos="340" w:val="left"/>
        </w:tabs>
        <w:numPr>
          <w:ilvl w:val="0"/>
          <w:numId w:val="52"/>
        </w:numPr>
        <w:rPr>
          <w:rFonts w:ascii="Times New Roman" w:cs="Times New Roman" w:eastAsia="Times New Roman" w:hAnsi="Times New Roman"/>
          <w:sz w:val="16"/>
          <w:szCs w:val="16"/>
          <w:color w:val="F37F00"/>
        </w:rPr>
      </w:pPr>
      <w:r>
        <w:rPr>
          <w:rFonts w:ascii="Arial" w:cs="Arial" w:eastAsia="Arial" w:hAnsi="Arial"/>
          <w:sz w:val="16"/>
          <w:szCs w:val="16"/>
          <w:color w:val="202124"/>
        </w:rPr>
        <w:t>Dollar General Corp. (2009 –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20" w:hanging="267"/>
        <w:spacing w:after="0"/>
        <w:tabs>
          <w:tab w:leader="none" w:pos="320" w:val="left"/>
        </w:tabs>
        <w:numPr>
          <w:ilvl w:val="0"/>
          <w:numId w:val="53"/>
        </w:numPr>
        <w:rPr>
          <w:rFonts w:ascii="Times New Roman" w:cs="Times New Roman" w:eastAsia="Times New Roman" w:hAnsi="Times New Roman"/>
          <w:sz w:val="16"/>
          <w:szCs w:val="16"/>
          <w:color w:val="F37F00"/>
        </w:rPr>
      </w:pPr>
      <w:r>
        <w:rPr>
          <w:rFonts w:ascii="Arial" w:cs="Arial" w:eastAsia="Arial" w:hAnsi="Arial"/>
          <w:sz w:val="16"/>
          <w:szCs w:val="16"/>
          <w:color w:val="202124"/>
        </w:rPr>
        <w:t>CEO</w:t>
      </w:r>
    </w:p>
    <w:p>
      <w:pPr>
        <w:spacing w:after="0" w:line="71" w:lineRule="exact"/>
        <w:rPr>
          <w:rFonts w:ascii="Times New Roman" w:cs="Times New Roman" w:eastAsia="Times New Roman" w:hAnsi="Times New Roman"/>
          <w:sz w:val="16"/>
          <w:szCs w:val="16"/>
          <w:color w:val="F37F00"/>
        </w:rPr>
      </w:pPr>
    </w:p>
    <w:p>
      <w:pPr>
        <w:ind w:left="320" w:hanging="267"/>
        <w:spacing w:after="0"/>
        <w:tabs>
          <w:tab w:leader="none" w:pos="320" w:val="left"/>
        </w:tabs>
        <w:numPr>
          <w:ilvl w:val="0"/>
          <w:numId w:val="53"/>
        </w:numPr>
        <w:rPr>
          <w:rFonts w:ascii="Times New Roman" w:cs="Times New Roman" w:eastAsia="Times New Roman" w:hAnsi="Times New Roman"/>
          <w:sz w:val="16"/>
          <w:szCs w:val="16"/>
          <w:color w:val="F37F00"/>
        </w:rPr>
      </w:pPr>
      <w:r>
        <w:rPr>
          <w:rFonts w:ascii="Arial" w:cs="Arial" w:eastAsia="Arial" w:hAnsi="Arial"/>
          <w:sz w:val="16"/>
          <w:szCs w:val="16"/>
          <w:color w:val="202124"/>
        </w:rPr>
        <w:t>Retail</w:t>
      </w:r>
    </w:p>
    <w:p>
      <w:pPr>
        <w:spacing w:after="0" w:line="71" w:lineRule="exact"/>
        <w:rPr>
          <w:rFonts w:ascii="Times New Roman" w:cs="Times New Roman" w:eastAsia="Times New Roman" w:hAnsi="Times New Roman"/>
          <w:sz w:val="16"/>
          <w:szCs w:val="16"/>
          <w:color w:val="F37F00"/>
        </w:rPr>
      </w:pPr>
    </w:p>
    <w:p>
      <w:pPr>
        <w:ind w:left="320" w:right="100" w:hanging="267"/>
        <w:spacing w:after="0" w:line="281" w:lineRule="auto"/>
        <w:tabs>
          <w:tab w:leader="none" w:pos="320" w:val="left"/>
        </w:tabs>
        <w:numPr>
          <w:ilvl w:val="0"/>
          <w:numId w:val="53"/>
        </w:numPr>
        <w:rPr>
          <w:rFonts w:ascii="Times New Roman" w:cs="Times New Roman" w:eastAsia="Times New Roman" w:hAnsi="Times New Roman"/>
          <w:sz w:val="16"/>
          <w:szCs w:val="16"/>
          <w:color w:val="F37F00"/>
        </w:rPr>
      </w:pPr>
      <w:r>
        <w:rPr>
          <w:rFonts w:ascii="Arial" w:cs="Arial" w:eastAsia="Arial" w:hAnsi="Arial"/>
          <w:sz w:val="16"/>
          <w:szCs w:val="16"/>
          <w:color w:val="202124"/>
        </w:rPr>
        <w:t>Strategy / Bus Development</w:t>
      </w:r>
    </w:p>
    <w:p>
      <w:pPr>
        <w:ind w:left="320" w:right="320" w:hanging="267"/>
        <w:spacing w:after="0" w:line="285" w:lineRule="auto"/>
        <w:tabs>
          <w:tab w:leader="none" w:pos="320" w:val="left"/>
        </w:tabs>
        <w:numPr>
          <w:ilvl w:val="0"/>
          <w:numId w:val="53"/>
        </w:numPr>
        <w:rPr>
          <w:rFonts w:ascii="Times New Roman" w:cs="Times New Roman" w:eastAsia="Times New Roman" w:hAnsi="Times New Roman"/>
          <w:sz w:val="16"/>
          <w:szCs w:val="16"/>
          <w:color w:val="F37F00"/>
        </w:rPr>
      </w:pPr>
      <w:r>
        <w:rPr>
          <w:rFonts w:ascii="Arial" w:cs="Arial" w:eastAsia="Arial" w:hAnsi="Arial"/>
          <w:sz w:val="16"/>
          <w:szCs w:val="16"/>
          <w:color w:val="202124"/>
        </w:rPr>
        <w:t>Finance / Accounting</w:t>
      </w:r>
    </w:p>
    <w:p>
      <w:pPr>
        <w:spacing w:after="0" w:line="3023" w:lineRule="exact"/>
        <w:rPr>
          <w:sz w:val="20"/>
          <w:szCs w:val="20"/>
          <w:color w:val="auto"/>
        </w:rPr>
      </w:pPr>
    </w:p>
    <w:p>
      <w:pPr>
        <w:sectPr>
          <w:pgSz w:w="11900" w:h="16838" w:orient="portrait"/>
          <w:cols w:equalWidth="0" w:num="3">
            <w:col w:w="2920" w:space="160"/>
            <w:col w:w="5640" w:space="200"/>
            <w:col w:w="144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29</w:t>
            </w:r>
          </w:p>
        </w:tc>
      </w:tr>
    </w:tbl>
    <w:p>
      <w:pPr>
        <w:sectPr>
          <w:pgSz w:w="11900" w:h="16838" w:orient="portrait"/>
          <w:cols w:equalWidth="0" w:num="1">
            <w:col w:w="10360"/>
          </w:cols>
          <w:pgMar w:left="440" w:top="106" w:right="109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8220"/>
        <w:spacing w:after="0"/>
        <w:rPr>
          <w:sz w:val="20"/>
          <w:szCs w:val="20"/>
          <w:color w:val="auto"/>
        </w:rPr>
      </w:pPr>
      <w:r>
        <w:rPr>
          <w:rFonts w:ascii="Arial" w:cs="Arial" w:eastAsia="Arial" w:hAnsi="Arial"/>
          <w:sz w:val="20"/>
          <w:szCs w:val="20"/>
          <w:b w:val="1"/>
          <w:bCs w:val="1"/>
          <w:color w:val="F37F00"/>
        </w:rPr>
        <w:t>JILL A. SOLTAU</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960" w:right="420" w:hanging="316"/>
        <w:spacing w:after="0" w:line="285" w:lineRule="auto"/>
        <w:tabs>
          <w:tab w:leader="none" w:pos="960" w:val="left"/>
        </w:tabs>
        <w:numPr>
          <w:ilvl w:val="0"/>
          <w:numId w:val="54"/>
        </w:numPr>
        <w:rPr>
          <w:rFonts w:ascii="Times New Roman" w:cs="Times New Roman" w:eastAsia="Times New Roman" w:hAnsi="Times New Roman"/>
          <w:sz w:val="16"/>
          <w:szCs w:val="16"/>
          <w:color w:val="F37F00"/>
        </w:rPr>
      </w:pPr>
      <w:r>
        <w:rPr>
          <w:rFonts w:ascii="Arial" w:cs="Arial" w:eastAsia="Arial" w:hAnsi="Arial"/>
          <w:sz w:val="16"/>
          <w:szCs w:val="16"/>
          <w:color w:val="202124"/>
        </w:rPr>
        <w:t>Nominating &amp; Corp Gov</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202124"/>
        </w:rPr>
        <w:t>Ms. Soltau served as the Chief Executive Officer and a member of the Board of Directors of the J.C. Penney Company, Inc., from October 2018 to December 2020. She previously served as President and Chief Executive Officer of JoAnn Stores Inc. from February 2015 to October 2018. Prior to joining JoAnn, Ms. Soltau served as President of Shopko Stores Operating Co. LLC and has held senior level positions in national and regional retailers, including Kohl’s and former Saks Inc.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40" w:right="200" w:hanging="333"/>
        <w:spacing w:after="0" w:line="253" w:lineRule="auto"/>
        <w:tabs>
          <w:tab w:leader="none" w:pos="340" w:val="left"/>
        </w:tabs>
        <w:numPr>
          <w:ilvl w:val="0"/>
          <w:numId w:val="55"/>
        </w:numPr>
        <w:rPr>
          <w:rFonts w:ascii="Times New Roman" w:cs="Times New Roman" w:eastAsia="Times New Roman" w:hAnsi="Times New Roman"/>
          <w:sz w:val="16"/>
          <w:szCs w:val="16"/>
          <w:color w:val="F37F00"/>
        </w:rPr>
      </w:pPr>
      <w:r>
        <w:rPr>
          <w:rFonts w:ascii="Arial" w:cs="Arial" w:eastAsia="Arial" w:hAnsi="Arial"/>
          <w:sz w:val="16"/>
          <w:szCs w:val="16"/>
          <w:color w:val="202124"/>
        </w:rPr>
        <w:t>Significant experience serving as Chief Executive Officer in public and private retailers with deep knowledge of retail operations, strategic planning and business development.</w:t>
      </w:r>
    </w:p>
    <w:p>
      <w:pPr>
        <w:ind w:left="340" w:hanging="333"/>
        <w:spacing w:after="0" w:line="246" w:lineRule="auto"/>
        <w:tabs>
          <w:tab w:leader="none" w:pos="340" w:val="left"/>
        </w:tabs>
        <w:numPr>
          <w:ilvl w:val="0"/>
          <w:numId w:val="55"/>
        </w:numPr>
        <w:rPr>
          <w:rFonts w:ascii="Times New Roman" w:cs="Times New Roman" w:eastAsia="Times New Roman" w:hAnsi="Times New Roman"/>
          <w:sz w:val="16"/>
          <w:szCs w:val="16"/>
          <w:color w:val="F37F00"/>
        </w:rPr>
      </w:pPr>
      <w:r>
        <w:rPr>
          <w:rFonts w:ascii="Arial" w:cs="Arial" w:eastAsia="Arial" w:hAnsi="Arial"/>
          <w:sz w:val="16"/>
          <w:szCs w:val="16"/>
          <w:color w:val="202124"/>
        </w:rPr>
        <w:t>Extensive expertise and modern approach in the retail industry from a career serving in leadership roles of increasing responsibility in customer facing functions of merchandising, marketing and operations.</w:t>
      </w:r>
    </w:p>
    <w:p>
      <w:pPr>
        <w:ind w:left="340" w:right="500" w:hanging="333"/>
        <w:spacing w:after="0" w:line="264" w:lineRule="auto"/>
        <w:tabs>
          <w:tab w:leader="none" w:pos="340" w:val="left"/>
        </w:tabs>
        <w:numPr>
          <w:ilvl w:val="0"/>
          <w:numId w:val="55"/>
        </w:numPr>
        <w:rPr>
          <w:rFonts w:ascii="Times New Roman" w:cs="Times New Roman" w:eastAsia="Times New Roman" w:hAnsi="Times New Roman"/>
          <w:sz w:val="16"/>
          <w:szCs w:val="16"/>
          <w:color w:val="F37F00"/>
        </w:rPr>
      </w:pPr>
      <w:r>
        <w:rPr>
          <w:rFonts w:ascii="Arial" w:cs="Arial" w:eastAsia="Arial" w:hAnsi="Arial"/>
          <w:sz w:val="16"/>
          <w:szCs w:val="16"/>
          <w:color w:val="202124"/>
        </w:rPr>
        <w:t>Served on multiple public company boards providing valuable and relevant insights and perspectives.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PUBLIC DIRECTORSHIPS (last five years):</w:t>
      </w:r>
    </w:p>
    <w:p>
      <w:pPr>
        <w:spacing w:after="0" w:line="194" w:lineRule="exact"/>
        <w:rPr>
          <w:sz w:val="20"/>
          <w:szCs w:val="20"/>
          <w:color w:val="auto"/>
        </w:rPr>
      </w:pPr>
    </w:p>
    <w:p>
      <w:pPr>
        <w:ind w:left="340" w:hanging="333"/>
        <w:spacing w:after="0"/>
        <w:tabs>
          <w:tab w:leader="none" w:pos="340" w:val="left"/>
        </w:tabs>
        <w:numPr>
          <w:ilvl w:val="0"/>
          <w:numId w:val="56"/>
        </w:numPr>
        <w:rPr>
          <w:rFonts w:ascii="Times New Roman" w:cs="Times New Roman" w:eastAsia="Times New Roman" w:hAnsi="Times New Roman"/>
          <w:sz w:val="16"/>
          <w:szCs w:val="16"/>
          <w:color w:val="F37F00"/>
        </w:rPr>
      </w:pPr>
      <w:r>
        <w:rPr>
          <w:rFonts w:ascii="Arial" w:cs="Arial" w:eastAsia="Arial" w:hAnsi="Arial"/>
          <w:sz w:val="16"/>
          <w:szCs w:val="16"/>
          <w:color w:val="202124"/>
        </w:rPr>
        <w:t>Yesway, Inc. (2026 – current)</w:t>
      </w:r>
    </w:p>
    <w:p>
      <w:pPr>
        <w:spacing w:after="0" w:line="29" w:lineRule="exact"/>
        <w:rPr>
          <w:rFonts w:ascii="Times New Roman" w:cs="Times New Roman" w:eastAsia="Times New Roman" w:hAnsi="Times New Roman"/>
          <w:sz w:val="16"/>
          <w:szCs w:val="16"/>
          <w:color w:val="F37F00"/>
        </w:rPr>
      </w:pPr>
    </w:p>
    <w:p>
      <w:pPr>
        <w:ind w:left="340" w:hanging="333"/>
        <w:spacing w:after="0"/>
        <w:tabs>
          <w:tab w:leader="none" w:pos="340" w:val="left"/>
        </w:tabs>
        <w:numPr>
          <w:ilvl w:val="0"/>
          <w:numId w:val="56"/>
        </w:numPr>
        <w:rPr>
          <w:rFonts w:ascii="Times New Roman" w:cs="Times New Roman" w:eastAsia="Times New Roman" w:hAnsi="Times New Roman"/>
          <w:sz w:val="16"/>
          <w:szCs w:val="16"/>
          <w:color w:val="F37F00"/>
        </w:rPr>
      </w:pPr>
      <w:r>
        <w:rPr>
          <w:rFonts w:ascii="Arial" w:cs="Arial" w:eastAsia="Arial" w:hAnsi="Arial"/>
          <w:sz w:val="16"/>
          <w:szCs w:val="16"/>
          <w:color w:val="202124"/>
        </w:rPr>
        <w:t>Southwest Airlines Co. (2023 – 2024)</w:t>
      </w:r>
    </w:p>
    <w:p>
      <w:pPr>
        <w:spacing w:after="0" w:line="17" w:lineRule="exact"/>
        <w:rPr>
          <w:rFonts w:ascii="Times New Roman" w:cs="Times New Roman" w:eastAsia="Times New Roman" w:hAnsi="Times New Roman"/>
          <w:sz w:val="16"/>
          <w:szCs w:val="16"/>
          <w:color w:val="F37F00"/>
        </w:rPr>
      </w:pPr>
    </w:p>
    <w:p>
      <w:pPr>
        <w:ind w:left="340" w:hanging="333"/>
        <w:spacing w:after="0"/>
        <w:tabs>
          <w:tab w:leader="none" w:pos="340" w:val="left"/>
        </w:tabs>
        <w:numPr>
          <w:ilvl w:val="0"/>
          <w:numId w:val="56"/>
        </w:numPr>
        <w:rPr>
          <w:rFonts w:ascii="Times New Roman" w:cs="Times New Roman" w:eastAsia="Times New Roman" w:hAnsi="Times New Roman"/>
          <w:sz w:val="16"/>
          <w:szCs w:val="16"/>
          <w:color w:val="F37F00"/>
        </w:rPr>
      </w:pPr>
      <w:r>
        <w:rPr>
          <w:rFonts w:ascii="Arial" w:cs="Arial" w:eastAsia="Arial" w:hAnsi="Arial"/>
          <w:sz w:val="16"/>
          <w:szCs w:val="16"/>
          <w:color w:val="202124"/>
        </w:rPr>
        <w:t>Kirkland’s Inc. (2022 – 2025)</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20" w:hanging="267"/>
        <w:spacing w:after="0"/>
        <w:tabs>
          <w:tab w:leader="none" w:pos="320" w:val="left"/>
        </w:tabs>
        <w:numPr>
          <w:ilvl w:val="0"/>
          <w:numId w:val="57"/>
        </w:numPr>
        <w:rPr>
          <w:rFonts w:ascii="Times New Roman" w:cs="Times New Roman" w:eastAsia="Times New Roman" w:hAnsi="Times New Roman"/>
          <w:sz w:val="16"/>
          <w:szCs w:val="16"/>
          <w:color w:val="F37F00"/>
        </w:rPr>
      </w:pPr>
      <w:r>
        <w:rPr>
          <w:rFonts w:ascii="Arial" w:cs="Arial" w:eastAsia="Arial" w:hAnsi="Arial"/>
          <w:sz w:val="16"/>
          <w:szCs w:val="16"/>
          <w:color w:val="202124"/>
        </w:rPr>
        <w:t>CEO</w:t>
      </w:r>
    </w:p>
    <w:p>
      <w:pPr>
        <w:spacing w:after="0" w:line="71" w:lineRule="exact"/>
        <w:rPr>
          <w:rFonts w:ascii="Times New Roman" w:cs="Times New Roman" w:eastAsia="Times New Roman" w:hAnsi="Times New Roman"/>
          <w:sz w:val="16"/>
          <w:szCs w:val="16"/>
          <w:color w:val="F37F00"/>
        </w:rPr>
      </w:pPr>
    </w:p>
    <w:p>
      <w:pPr>
        <w:ind w:left="320" w:hanging="267"/>
        <w:spacing w:after="0"/>
        <w:tabs>
          <w:tab w:leader="none" w:pos="320" w:val="left"/>
        </w:tabs>
        <w:numPr>
          <w:ilvl w:val="0"/>
          <w:numId w:val="57"/>
        </w:numPr>
        <w:rPr>
          <w:rFonts w:ascii="Times New Roman" w:cs="Times New Roman" w:eastAsia="Times New Roman" w:hAnsi="Times New Roman"/>
          <w:sz w:val="14"/>
          <w:szCs w:val="14"/>
          <w:color w:val="F37F00"/>
        </w:rPr>
      </w:pPr>
      <w:r>
        <w:rPr>
          <w:rFonts w:ascii="Arial" w:cs="Arial" w:eastAsia="Arial" w:hAnsi="Arial"/>
          <w:sz w:val="16"/>
          <w:szCs w:val="16"/>
          <w:color w:val="202124"/>
        </w:rPr>
        <w:t>Retail</w:t>
      </w:r>
    </w:p>
    <w:p>
      <w:pPr>
        <w:spacing w:after="0" w:line="59" w:lineRule="exact"/>
        <w:rPr>
          <w:rFonts w:ascii="Times New Roman" w:cs="Times New Roman" w:eastAsia="Times New Roman" w:hAnsi="Times New Roman"/>
          <w:sz w:val="14"/>
          <w:szCs w:val="14"/>
          <w:color w:val="F37F00"/>
        </w:rPr>
      </w:pPr>
    </w:p>
    <w:p>
      <w:pPr>
        <w:ind w:left="320" w:right="100" w:hanging="267"/>
        <w:spacing w:after="0" w:line="281" w:lineRule="auto"/>
        <w:tabs>
          <w:tab w:leader="none" w:pos="320" w:val="left"/>
        </w:tabs>
        <w:numPr>
          <w:ilvl w:val="0"/>
          <w:numId w:val="57"/>
        </w:numPr>
        <w:rPr>
          <w:rFonts w:ascii="Times New Roman" w:cs="Times New Roman" w:eastAsia="Times New Roman" w:hAnsi="Times New Roman"/>
          <w:sz w:val="16"/>
          <w:szCs w:val="16"/>
          <w:color w:val="F37F00"/>
        </w:rPr>
      </w:pPr>
      <w:r>
        <w:rPr>
          <w:rFonts w:ascii="Arial" w:cs="Arial" w:eastAsia="Arial" w:hAnsi="Arial"/>
          <w:sz w:val="16"/>
          <w:szCs w:val="16"/>
          <w:color w:val="202124"/>
        </w:rPr>
        <w:t>Strategy / Bus Development</w:t>
      </w:r>
    </w:p>
    <w:p>
      <w:pPr>
        <w:ind w:left="320" w:hanging="267"/>
        <w:spacing w:after="0"/>
        <w:tabs>
          <w:tab w:leader="none" w:pos="320" w:val="left"/>
        </w:tabs>
        <w:numPr>
          <w:ilvl w:val="0"/>
          <w:numId w:val="57"/>
        </w:numPr>
        <w:rPr>
          <w:rFonts w:ascii="Times New Roman" w:cs="Times New Roman" w:eastAsia="Times New Roman" w:hAnsi="Times New Roman"/>
          <w:sz w:val="16"/>
          <w:szCs w:val="16"/>
          <w:color w:val="F37F00"/>
        </w:rPr>
      </w:pPr>
      <w:r>
        <w:rPr>
          <w:rFonts w:ascii="Arial" w:cs="Arial" w:eastAsia="Arial" w:hAnsi="Arial"/>
          <w:sz w:val="16"/>
          <w:szCs w:val="16"/>
          <w:color w:val="202124"/>
        </w:rPr>
        <w:t>Merchandising</w:t>
      </w:r>
    </w:p>
    <w:p>
      <w:pPr>
        <w:spacing w:after="0" w:line="3870" w:lineRule="exact"/>
        <w:rPr>
          <w:sz w:val="20"/>
          <w:szCs w:val="20"/>
          <w:color w:val="auto"/>
        </w:rPr>
      </w:pPr>
    </w:p>
    <w:p>
      <w:pPr>
        <w:sectPr>
          <w:pgSz w:w="11900" w:h="16838" w:orient="portrait"/>
          <w:cols w:equalWidth="0" w:num="3">
            <w:col w:w="2360" w:space="720"/>
            <w:col w:w="5540" w:space="300"/>
            <w:col w:w="144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F37F00"/>
        </w:rPr>
        <w:t>CONSTANTINO SPAS MONTESINOS</w:t>
      </w:r>
    </w:p>
    <w:p>
      <w:pPr>
        <w:sectPr>
          <w:pgSz w:w="11900" w:h="16838" w:orient="portrait"/>
          <w:cols w:equalWidth="0" w:num="1">
            <w:col w:w="1036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960" w:hanging="316"/>
        <w:spacing w:after="0"/>
        <w:tabs>
          <w:tab w:leader="none" w:pos="960" w:val="left"/>
        </w:tabs>
        <w:numPr>
          <w:ilvl w:val="0"/>
          <w:numId w:val="58"/>
        </w:numPr>
        <w:rPr>
          <w:rFonts w:ascii="Times New Roman" w:cs="Times New Roman" w:eastAsia="Times New Roman" w:hAnsi="Times New Roman"/>
          <w:sz w:val="16"/>
          <w:szCs w:val="16"/>
          <w:color w:val="F37F00"/>
        </w:rPr>
      </w:pPr>
      <w:r>
        <w:rPr>
          <w:rFonts w:ascii="Arial" w:cs="Arial" w:eastAsia="Arial" w:hAnsi="Arial"/>
          <w:sz w:val="16"/>
          <w:szCs w:val="16"/>
          <w:color w:val="202124"/>
        </w:rPr>
        <w:t>Audit</w:t>
      </w:r>
    </w:p>
    <w:p>
      <w:pPr>
        <w:spacing w:after="0" w:line="29" w:lineRule="exact"/>
        <w:rPr>
          <w:rFonts w:ascii="Times New Roman" w:cs="Times New Roman" w:eastAsia="Times New Roman" w:hAnsi="Times New Roman"/>
          <w:sz w:val="16"/>
          <w:szCs w:val="16"/>
          <w:color w:val="F37F00"/>
        </w:rPr>
      </w:pPr>
    </w:p>
    <w:p>
      <w:pPr>
        <w:ind w:left="960" w:right="414" w:hanging="316"/>
        <w:spacing w:after="0" w:line="269" w:lineRule="auto"/>
        <w:tabs>
          <w:tab w:leader="none" w:pos="960" w:val="left"/>
        </w:tabs>
        <w:numPr>
          <w:ilvl w:val="0"/>
          <w:numId w:val="58"/>
        </w:numPr>
        <w:rPr>
          <w:rFonts w:ascii="Times New Roman" w:cs="Times New Roman" w:eastAsia="Times New Roman" w:hAnsi="Times New Roman"/>
          <w:sz w:val="16"/>
          <w:szCs w:val="16"/>
          <w:color w:val="F37F00"/>
        </w:rPr>
      </w:pPr>
      <w:r>
        <w:rPr>
          <w:rFonts w:ascii="Arial" w:cs="Arial" w:eastAsia="Arial" w:hAnsi="Arial"/>
          <w:sz w:val="16"/>
          <w:szCs w:val="16"/>
          <w:color w:val="202124"/>
        </w:rPr>
        <w:t>Nominating &amp; Corp Gov</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BIOGRAPHY:</w:t>
      </w:r>
    </w:p>
    <w:p>
      <w:pPr>
        <w:spacing w:after="0" w:line="194" w:lineRule="exact"/>
        <w:rPr>
          <w:sz w:val="20"/>
          <w:szCs w:val="20"/>
          <w:color w:val="auto"/>
        </w:rPr>
      </w:pPr>
    </w:p>
    <w:p>
      <w:pPr>
        <w:ind w:left="6"/>
        <w:spacing w:after="0" w:line="252" w:lineRule="auto"/>
        <w:rPr>
          <w:sz w:val="20"/>
          <w:szCs w:val="20"/>
          <w:color w:val="auto"/>
        </w:rPr>
      </w:pPr>
      <w:r>
        <w:rPr>
          <w:rFonts w:ascii="Arial" w:cs="Arial" w:eastAsia="Arial" w:hAnsi="Arial"/>
          <w:sz w:val="16"/>
          <w:szCs w:val="16"/>
          <w:color w:val="202124"/>
        </w:rPr>
        <w:t>Mr. Spas serves as the Chief Executive Officer of the Proximity Americas and Mobility Division of Fomento Económico Mexicano, S.A.B. de C.V. (FEMSA), a Mexican multinational beverage and retail company. Coca Cola FEMSA operates the largest franchise bottler of Coca-Cola products in the world by volume and the largest small-format store chain in Latin America by number of stores. Mr. Spas joined Coca-Cola FEMSA in 2018, and has held senior positions during his tenure, including Chief Financial Officer and Chief Executive Officer of the Strategic Businesses division.</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202124"/>
        </w:rPr>
        <w:t>QUALIFICATIONS:</w:t>
      </w:r>
    </w:p>
    <w:p>
      <w:pPr>
        <w:spacing w:after="0" w:line="194" w:lineRule="exact"/>
        <w:rPr>
          <w:sz w:val="20"/>
          <w:szCs w:val="20"/>
          <w:color w:val="auto"/>
        </w:rPr>
      </w:pPr>
    </w:p>
    <w:p>
      <w:pPr>
        <w:ind w:left="326" w:right="120" w:hanging="326"/>
        <w:spacing w:after="0" w:line="256" w:lineRule="auto"/>
        <w:tabs>
          <w:tab w:leader="none" w:pos="326" w:val="left"/>
        </w:tabs>
        <w:numPr>
          <w:ilvl w:val="0"/>
          <w:numId w:val="59"/>
        </w:numPr>
        <w:rPr>
          <w:rFonts w:ascii="Times New Roman" w:cs="Times New Roman" w:eastAsia="Times New Roman" w:hAnsi="Times New Roman"/>
          <w:sz w:val="16"/>
          <w:szCs w:val="16"/>
          <w:color w:val="F37F00"/>
        </w:rPr>
      </w:pPr>
      <w:r>
        <w:rPr>
          <w:rFonts w:ascii="Arial" w:cs="Arial" w:eastAsia="Arial" w:hAnsi="Arial"/>
          <w:sz w:val="16"/>
          <w:szCs w:val="16"/>
          <w:color w:val="202124"/>
        </w:rPr>
        <w:t>Robust financial expertise gained from serving as Chief Financial Officer and Chief Executive Officer.</w:t>
      </w:r>
    </w:p>
    <w:p>
      <w:pPr>
        <w:ind w:left="326" w:right="300" w:hanging="326"/>
        <w:spacing w:after="0" w:line="246" w:lineRule="auto"/>
        <w:tabs>
          <w:tab w:leader="none" w:pos="326" w:val="left"/>
        </w:tabs>
        <w:numPr>
          <w:ilvl w:val="0"/>
          <w:numId w:val="59"/>
        </w:numPr>
        <w:rPr>
          <w:rFonts w:ascii="Times New Roman" w:cs="Times New Roman" w:eastAsia="Times New Roman" w:hAnsi="Times New Roman"/>
          <w:sz w:val="16"/>
          <w:szCs w:val="16"/>
          <w:color w:val="F37F00"/>
        </w:rPr>
      </w:pPr>
      <w:r>
        <w:rPr>
          <w:rFonts w:ascii="Arial" w:cs="Arial" w:eastAsia="Arial" w:hAnsi="Arial"/>
          <w:sz w:val="16"/>
          <w:szCs w:val="16"/>
          <w:color w:val="202124"/>
        </w:rPr>
        <w:t>Deep knowledge of Latin American markets, including developing and executing upon strategic growth initiatives in such markets.</w:t>
      </w:r>
    </w:p>
    <w:p>
      <w:pPr>
        <w:ind w:left="326" w:hanging="326"/>
        <w:spacing w:after="0"/>
        <w:tabs>
          <w:tab w:leader="none" w:pos="326" w:val="left"/>
        </w:tabs>
        <w:numPr>
          <w:ilvl w:val="0"/>
          <w:numId w:val="59"/>
        </w:numPr>
        <w:rPr>
          <w:rFonts w:ascii="Times New Roman" w:cs="Times New Roman" w:eastAsia="Times New Roman" w:hAnsi="Times New Roman"/>
          <w:sz w:val="16"/>
          <w:szCs w:val="16"/>
          <w:color w:val="F37F00"/>
        </w:rPr>
      </w:pPr>
      <w:r>
        <w:rPr>
          <w:rFonts w:ascii="Arial" w:cs="Arial" w:eastAsia="Arial" w:hAnsi="Arial"/>
          <w:sz w:val="16"/>
          <w:szCs w:val="16"/>
          <w:color w:val="202124"/>
        </w:rPr>
        <w:t>Expertise in Business to Business strategies.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202124"/>
        </w:rPr>
        <w:t>KEY SKILLS:</w:t>
      </w:r>
    </w:p>
    <w:p>
      <w:pPr>
        <w:spacing w:after="0" w:line="59" w:lineRule="exact"/>
        <w:rPr>
          <w:sz w:val="20"/>
          <w:szCs w:val="20"/>
          <w:color w:val="auto"/>
        </w:rPr>
      </w:pPr>
    </w:p>
    <w:p>
      <w:pPr>
        <w:ind w:left="340" w:right="320" w:hanging="280"/>
        <w:spacing w:after="0" w:line="281" w:lineRule="auto"/>
        <w:tabs>
          <w:tab w:leader="none" w:pos="340" w:val="left"/>
        </w:tabs>
        <w:numPr>
          <w:ilvl w:val="0"/>
          <w:numId w:val="60"/>
        </w:numPr>
        <w:rPr>
          <w:rFonts w:ascii="Times New Roman" w:cs="Times New Roman" w:eastAsia="Times New Roman" w:hAnsi="Times New Roman"/>
          <w:sz w:val="16"/>
          <w:szCs w:val="16"/>
          <w:color w:val="F37F00"/>
        </w:rPr>
      </w:pPr>
      <w:r>
        <w:rPr>
          <w:rFonts w:ascii="Arial" w:cs="Arial" w:eastAsia="Arial" w:hAnsi="Arial"/>
          <w:sz w:val="16"/>
          <w:szCs w:val="16"/>
          <w:color w:val="202124"/>
        </w:rPr>
        <w:t>Finance / Accounting</w:t>
      </w:r>
    </w:p>
    <w:p>
      <w:pPr>
        <w:ind w:left="340" w:hanging="280"/>
        <w:spacing w:after="0"/>
        <w:tabs>
          <w:tab w:leader="none" w:pos="340" w:val="left"/>
        </w:tabs>
        <w:numPr>
          <w:ilvl w:val="0"/>
          <w:numId w:val="60"/>
        </w:numPr>
        <w:rPr>
          <w:rFonts w:ascii="Times New Roman" w:cs="Times New Roman" w:eastAsia="Times New Roman" w:hAnsi="Times New Roman"/>
          <w:sz w:val="16"/>
          <w:szCs w:val="16"/>
          <w:color w:val="F37F00"/>
        </w:rPr>
      </w:pPr>
      <w:r>
        <w:rPr>
          <w:rFonts w:ascii="Arial" w:cs="Arial" w:eastAsia="Arial" w:hAnsi="Arial"/>
          <w:sz w:val="16"/>
          <w:szCs w:val="16"/>
          <w:color w:val="202124"/>
        </w:rPr>
        <w:t>International</w:t>
      </w:r>
    </w:p>
    <w:p>
      <w:pPr>
        <w:spacing w:after="0" w:line="71" w:lineRule="exact"/>
        <w:rPr>
          <w:rFonts w:ascii="Times New Roman" w:cs="Times New Roman" w:eastAsia="Times New Roman" w:hAnsi="Times New Roman"/>
          <w:sz w:val="16"/>
          <w:szCs w:val="16"/>
          <w:color w:val="F37F00"/>
        </w:rPr>
      </w:pPr>
    </w:p>
    <w:p>
      <w:pPr>
        <w:ind w:left="340" w:right="120" w:hanging="280"/>
        <w:spacing w:after="0" w:line="320" w:lineRule="auto"/>
        <w:tabs>
          <w:tab w:leader="none" w:pos="340" w:val="left"/>
        </w:tabs>
        <w:numPr>
          <w:ilvl w:val="0"/>
          <w:numId w:val="60"/>
        </w:numPr>
        <w:rPr>
          <w:rFonts w:ascii="Times New Roman" w:cs="Times New Roman" w:eastAsia="Times New Roman" w:hAnsi="Times New Roman"/>
          <w:sz w:val="15"/>
          <w:szCs w:val="15"/>
          <w:color w:val="F37F00"/>
        </w:rPr>
      </w:pPr>
      <w:r>
        <w:rPr>
          <w:rFonts w:ascii="Arial" w:cs="Arial" w:eastAsia="Arial" w:hAnsi="Arial"/>
          <w:sz w:val="15"/>
          <w:szCs w:val="15"/>
          <w:color w:val="202124"/>
        </w:rPr>
        <w:t>Strategy / Bus Development</w:t>
      </w:r>
    </w:p>
    <w:p>
      <w:pPr>
        <w:spacing w:after="0" w:line="2567" w:lineRule="exact"/>
        <w:rPr>
          <w:sz w:val="20"/>
          <w:szCs w:val="20"/>
          <w:color w:val="auto"/>
        </w:rPr>
      </w:pPr>
    </w:p>
    <w:p>
      <w:pPr>
        <w:sectPr>
          <w:pgSz w:w="11900" w:h="16838" w:orient="portrait"/>
          <w:cols w:equalWidth="0" w:num="3">
            <w:col w:w="2354" w:space="720"/>
            <w:col w:w="5626" w:space="200"/>
            <w:col w:w="146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30   </w:t>
      </w:r>
      <w:r>
        <w:rPr>
          <w:sz w:val="1"/>
          <w:szCs w:val="1"/>
          <w:color w:val="auto"/>
        </w:rPr>
        <w:drawing>
          <wp:inline distT="0" distB="0" distL="0" distR="0">
            <wp:extent cx="1165860" cy="137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right="1180"/>
        <w:spacing w:after="0" w:line="245" w:lineRule="auto"/>
        <w:rPr>
          <w:sz w:val="20"/>
          <w:szCs w:val="20"/>
          <w:color w:val="auto"/>
        </w:rPr>
      </w:pPr>
      <w:r>
        <w:rPr>
          <w:rFonts w:ascii="Arial" w:cs="Arial" w:eastAsia="Arial" w:hAnsi="Arial"/>
          <w:sz w:val="43"/>
          <w:szCs w:val="43"/>
          <w:color w:val="F37F00"/>
        </w:rPr>
        <w:t xml:space="preserve">PROPOSAL 2: </w:t>
      </w:r>
      <w:r>
        <w:rPr>
          <w:rFonts w:ascii="Arial" w:cs="Arial" w:eastAsia="Arial" w:hAnsi="Arial"/>
          <w:sz w:val="43"/>
          <w:szCs w:val="43"/>
          <w:b w:val="1"/>
          <w:bCs w:val="1"/>
          <w:color w:val="F37F00"/>
        </w:rPr>
        <w:t>Ratification of Independent</w:t>
      </w:r>
      <w:r>
        <w:rPr>
          <w:rFonts w:ascii="Arial" w:cs="Arial" w:eastAsia="Arial" w:hAnsi="Arial"/>
          <w:sz w:val="43"/>
          <w:szCs w:val="43"/>
          <w:color w:val="F37F00"/>
        </w:rPr>
        <w:t xml:space="preserve"> </w:t>
      </w:r>
      <w:r>
        <w:rPr>
          <w:rFonts w:ascii="Arial" w:cs="Arial" w:eastAsia="Arial" w:hAnsi="Arial"/>
          <w:sz w:val="43"/>
          <w:szCs w:val="43"/>
          <w:b w:val="1"/>
          <w:bCs w:val="1"/>
          <w:color w:val="F37F00"/>
        </w:rPr>
        <w:t>Registered Public Accounting Firm</w:t>
      </w:r>
    </w:p>
    <w:p>
      <w:pPr>
        <w:spacing w:after="0" w:line="14" w:lineRule="exact"/>
        <w:rPr>
          <w:sz w:val="20"/>
          <w:szCs w:val="20"/>
          <w:color w:val="auto"/>
        </w:rPr>
      </w:pPr>
    </w:p>
    <w:p>
      <w:pPr>
        <w:ind w:left="640" w:right="700"/>
        <w:spacing w:after="0" w:line="271" w:lineRule="auto"/>
        <w:rPr>
          <w:sz w:val="20"/>
          <w:szCs w:val="20"/>
          <w:color w:val="auto"/>
        </w:rPr>
      </w:pPr>
      <w:r>
        <w:rPr>
          <w:rFonts w:ascii="Arial" w:cs="Arial" w:eastAsia="Arial" w:hAnsi="Arial"/>
          <w:sz w:val="18"/>
          <w:szCs w:val="18"/>
          <w:b w:val="1"/>
          <w:bCs w:val="1"/>
          <w:color w:val="202124"/>
        </w:rPr>
        <w:t xml:space="preserve">DESCRIPTION OF PROPOSAL. </w:t>
      </w:r>
      <w:r>
        <w:rPr>
          <w:rFonts w:ascii="Arial" w:cs="Arial" w:eastAsia="Arial" w:hAnsi="Arial"/>
          <w:sz w:val="18"/>
          <w:szCs w:val="18"/>
          <w:color w:val="202124"/>
        </w:rPr>
        <w:t>Ratify the appointment of Ernst &amp; Young LLP (“EY”) as AutoZone’s independent</w:t>
      </w:r>
      <w:r>
        <w:rPr>
          <w:rFonts w:ascii="Arial" w:cs="Arial" w:eastAsia="Arial" w:hAnsi="Arial"/>
          <w:sz w:val="18"/>
          <w:szCs w:val="18"/>
          <w:b w:val="1"/>
          <w:bCs w:val="1"/>
          <w:color w:val="202124"/>
        </w:rPr>
        <w:t xml:space="preserve"> </w:t>
      </w:r>
      <w:r>
        <w:rPr>
          <w:rFonts w:ascii="Arial" w:cs="Arial" w:eastAsia="Arial" w:hAnsi="Arial"/>
          <w:sz w:val="18"/>
          <w:szCs w:val="18"/>
          <w:color w:val="202124"/>
        </w:rPr>
        <w:t>registered public accounting firm for 2027.</w:t>
      </w:r>
    </w:p>
    <w:p>
      <w:pPr>
        <w:spacing w:after="0" w:line="113" w:lineRule="exact"/>
        <w:rPr>
          <w:sz w:val="20"/>
          <w:szCs w:val="20"/>
          <w:color w:val="auto"/>
        </w:rPr>
      </w:pPr>
    </w:p>
    <w:p>
      <w:pPr>
        <w:ind w:left="640" w:right="440"/>
        <w:spacing w:after="0" w:line="247" w:lineRule="auto"/>
        <w:rPr>
          <w:sz w:val="20"/>
          <w:szCs w:val="20"/>
          <w:color w:val="auto"/>
        </w:rPr>
      </w:pPr>
      <w:r>
        <w:rPr>
          <w:rFonts w:ascii="Arial" w:cs="Arial" w:eastAsia="Arial" w:hAnsi="Arial"/>
          <w:sz w:val="18"/>
          <w:szCs w:val="18"/>
          <w:b w:val="1"/>
          <w:bCs w:val="1"/>
          <w:color w:val="202124"/>
        </w:rPr>
        <w:t xml:space="preserve">VOTES REQUIRED. </w:t>
      </w:r>
      <w:r>
        <w:rPr>
          <w:rFonts w:ascii="Arial" w:cs="Arial" w:eastAsia="Arial" w:hAnsi="Arial"/>
          <w:sz w:val="18"/>
          <w:szCs w:val="18"/>
          <w:color w:val="202124"/>
        </w:rPr>
        <w:t>EY will be ratified as AutoZone’s independent registered public accounting firm if the number of</w:t>
      </w:r>
      <w:r>
        <w:rPr>
          <w:rFonts w:ascii="Arial" w:cs="Arial" w:eastAsia="Arial" w:hAnsi="Arial"/>
          <w:sz w:val="18"/>
          <w:szCs w:val="18"/>
          <w:b w:val="1"/>
          <w:bCs w:val="1"/>
          <w:color w:val="202124"/>
        </w:rPr>
        <w:t xml:space="preserve"> </w:t>
      </w:r>
      <w:r>
        <w:rPr>
          <w:rFonts w:ascii="Arial" w:cs="Arial" w:eastAsia="Arial" w:hAnsi="Arial"/>
          <w:sz w:val="18"/>
          <w:szCs w:val="18"/>
          <w:color w:val="202124"/>
        </w:rPr>
        <w:t>votes cast FOR the proposal exceeds the number of votes cast AGAINST. Abstentions and broker non-votes are not considered votes cast or shares entitled to vote with respect to this matter and therefore will have no effect on the outcome of Proposal 2.</w:t>
      </w:r>
    </w:p>
    <w:p>
      <w:pPr>
        <w:spacing w:after="0" w:line="147" w:lineRule="exact"/>
        <w:rPr>
          <w:sz w:val="20"/>
          <w:szCs w:val="20"/>
          <w:color w:val="auto"/>
        </w:rPr>
      </w:pPr>
    </w:p>
    <w:p>
      <w:pPr>
        <w:ind w:left="640" w:right="240"/>
        <w:spacing w:after="0" w:line="271" w:lineRule="auto"/>
        <w:rPr>
          <w:sz w:val="20"/>
          <w:szCs w:val="20"/>
          <w:color w:val="auto"/>
        </w:rPr>
      </w:pPr>
      <w:r>
        <w:rPr>
          <w:rFonts w:ascii="Arial" w:cs="Arial" w:eastAsia="Arial" w:hAnsi="Arial"/>
          <w:sz w:val="18"/>
          <w:szCs w:val="18"/>
          <w:b w:val="1"/>
          <w:bCs w:val="1"/>
          <w:color w:val="202124"/>
        </w:rPr>
        <w:t xml:space="preserve">IMPACT OF VOTE. </w:t>
      </w:r>
      <w:r>
        <w:rPr>
          <w:rFonts w:ascii="Arial" w:cs="Arial" w:eastAsia="Arial" w:hAnsi="Arial"/>
          <w:sz w:val="18"/>
          <w:szCs w:val="18"/>
          <w:color w:val="202124"/>
        </w:rPr>
        <w:t>The Audit Committee is not bound by a vote either for or against the firm but will consider the votes</w:t>
      </w:r>
      <w:r>
        <w:rPr>
          <w:rFonts w:ascii="Arial" w:cs="Arial" w:eastAsia="Arial" w:hAnsi="Arial"/>
          <w:sz w:val="18"/>
          <w:szCs w:val="18"/>
          <w:b w:val="1"/>
          <w:bCs w:val="1"/>
          <w:color w:val="202124"/>
        </w:rPr>
        <w:t xml:space="preserve"> </w:t>
      </w:r>
      <w:r>
        <w:rPr>
          <w:rFonts w:ascii="Arial" w:cs="Arial" w:eastAsia="Arial" w:hAnsi="Arial"/>
          <w:sz w:val="18"/>
          <w:szCs w:val="18"/>
          <w:color w:val="202124"/>
        </w:rPr>
        <w:t>cast by stockholders in selecting our independent registered public accounting firm in the future.</w:t>
      </w:r>
    </w:p>
    <w:p>
      <w:pPr>
        <w:spacing w:after="0" w:line="113" w:lineRule="exact"/>
        <w:rPr>
          <w:sz w:val="20"/>
          <w:szCs w:val="20"/>
          <w:color w:val="auto"/>
        </w:rPr>
      </w:pPr>
    </w:p>
    <w:p>
      <w:pPr>
        <w:ind w:left="640" w:right="20"/>
        <w:spacing w:after="0"/>
        <w:rPr>
          <w:sz w:val="20"/>
          <w:szCs w:val="20"/>
          <w:color w:val="auto"/>
        </w:rPr>
      </w:pPr>
      <w:r>
        <w:rPr>
          <w:rFonts w:ascii="Arial" w:cs="Arial" w:eastAsia="Arial" w:hAnsi="Arial"/>
          <w:sz w:val="18"/>
          <w:szCs w:val="18"/>
          <w:b w:val="1"/>
          <w:bCs w:val="1"/>
          <w:color w:val="202124"/>
        </w:rPr>
        <w:t xml:space="preserve">BOARD RECOMMENDATION. </w:t>
      </w:r>
      <w:r>
        <w:rPr>
          <w:rFonts w:ascii="Arial" w:cs="Arial" w:eastAsia="Arial" w:hAnsi="Arial"/>
          <w:sz w:val="18"/>
          <w:szCs w:val="18"/>
          <w:color w:val="202124"/>
        </w:rPr>
        <w:t>As part of its responsibility to evaluate and appoint the independent auditor each year, the</w:t>
      </w:r>
      <w:r>
        <w:rPr>
          <w:rFonts w:ascii="Arial" w:cs="Arial" w:eastAsia="Arial" w:hAnsi="Arial"/>
          <w:sz w:val="18"/>
          <w:szCs w:val="18"/>
          <w:b w:val="1"/>
          <w:bCs w:val="1"/>
          <w:color w:val="202124"/>
        </w:rPr>
        <w:t xml:space="preserve"> </w:t>
      </w:r>
      <w:r>
        <w:rPr>
          <w:rFonts w:ascii="Arial" w:cs="Arial" w:eastAsia="Arial" w:hAnsi="Arial"/>
          <w:sz w:val="18"/>
          <w:szCs w:val="18"/>
          <w:color w:val="202124"/>
        </w:rPr>
        <w:t xml:space="preserve">Audit Committee has selected EY as our independent registered public accounting firm for the upcoming fiscal year. The Audit Committee considered a number of factors prior to making the determination to re-engage EY, including the nature and quality of their performance, communications, expertise, objectivity, professional judgment and tenure. As discussed below, the Audit Committee believes there are numerous benefits associated with a long-tenured relationship. The Audit Committee also considered that </w:t>
      </w:r>
      <w:r>
        <w:rPr>
          <w:rFonts w:ascii="Arial" w:cs="Arial" w:eastAsia="Arial" w:hAnsi="Arial"/>
          <w:sz w:val="18"/>
          <w:szCs w:val="18"/>
          <w:b w:val="1"/>
          <w:bCs w:val="1"/>
          <w:color w:val="F37F00"/>
        </w:rPr>
        <w:t>stockholders voted in favor of EY with over 91% of the votes cast</w:t>
      </w:r>
      <w:r>
        <w:rPr>
          <w:rFonts w:ascii="Arial" w:cs="Arial" w:eastAsia="Arial" w:hAnsi="Arial"/>
          <w:sz w:val="18"/>
          <w:szCs w:val="18"/>
          <w:color w:val="202124"/>
        </w:rPr>
        <w:t xml:space="preserve"> at last year’s annual meeting. Due to these factors, among others, the Audit Committee has selected EY to be AutoZone’s independent registered public accounting firm for the 2027 fiscal year.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Representatives of EY will be present at the Annual Meeting to answer any appropriate questions.</w:t>
      </w:r>
    </w:p>
    <w:p>
      <w:pPr>
        <w:spacing w:after="0" w:line="200" w:lineRule="exact"/>
        <w:rPr>
          <w:sz w:val="20"/>
          <w:szCs w:val="20"/>
          <w:color w:val="auto"/>
        </w:rPr>
      </w:pPr>
    </w:p>
    <w:p>
      <w:pPr>
        <w:spacing w:after="0" w:line="255" w:lineRule="exact"/>
        <w:rPr>
          <w:sz w:val="20"/>
          <w:szCs w:val="20"/>
          <w:color w:val="auto"/>
        </w:rPr>
      </w:pPr>
    </w:p>
    <w:p>
      <w:pPr>
        <w:jc w:val="center"/>
        <w:ind w:left="2140" w:right="1560"/>
        <w:spacing w:after="0" w:line="253" w:lineRule="auto"/>
        <w:rPr>
          <w:sz w:val="20"/>
          <w:szCs w:val="20"/>
          <w:color w:val="auto"/>
        </w:rPr>
      </w:pPr>
      <w:r>
        <w:rPr>
          <w:rFonts w:ascii="Arial" w:cs="Arial" w:eastAsia="Arial" w:hAnsi="Arial"/>
          <w:sz w:val="18"/>
          <w:szCs w:val="18"/>
          <w:color w:val="202124"/>
        </w:rPr>
        <w:t xml:space="preserve">The Board recommends that stockholders vote </w:t>
      </w:r>
      <w:r>
        <w:rPr>
          <w:rFonts w:ascii="Arial" w:cs="Arial" w:eastAsia="Arial" w:hAnsi="Arial"/>
          <w:sz w:val="18"/>
          <w:szCs w:val="18"/>
          <w:b w:val="1"/>
          <w:bCs w:val="1"/>
          <w:color w:val="F37F00"/>
        </w:rPr>
        <w:t>FOR</w:t>
      </w:r>
      <w:r>
        <w:rPr>
          <w:rFonts w:ascii="Arial" w:cs="Arial" w:eastAsia="Arial" w:hAnsi="Arial"/>
          <w:sz w:val="18"/>
          <w:szCs w:val="18"/>
          <w:color w:val="202124"/>
        </w:rPr>
        <w:t xml:space="preserve"> the ratification of Ernst &amp; Young LLP as AutoZone’s independent registered public accounting firm.</w:t>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BENEFITS OF A LONG-TENURED AUDITOR</w:t>
      </w:r>
    </w:p>
    <w:p>
      <w:pPr>
        <w:spacing w:after="0" w:line="104"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202124"/>
        </w:rPr>
        <w:t>EY has served as our independent auditor for over thirty-five years. Before determining to engage them again for the upcoming fiscal year, the Audit Committee considered how auditor tenure might impact the quality and effectiveness of the independent audit and determined that a number of benefits exist:</w:t>
      </w:r>
    </w:p>
    <w:p>
      <w:pPr>
        <w:spacing w:after="0" w:line="128" w:lineRule="exact"/>
        <w:rPr>
          <w:sz w:val="20"/>
          <w:szCs w:val="20"/>
          <w:color w:val="auto"/>
        </w:rPr>
      </w:pPr>
    </w:p>
    <w:p>
      <w:pPr>
        <w:ind w:left="1320" w:right="820" w:hanging="325"/>
        <w:spacing w:after="0" w:line="270" w:lineRule="auto"/>
        <w:tabs>
          <w:tab w:leader="none" w:pos="1320" w:val="left"/>
        </w:tabs>
        <w:numPr>
          <w:ilvl w:val="0"/>
          <w:numId w:val="61"/>
        </w:numPr>
        <w:rPr>
          <w:rFonts w:ascii="Times New Roman" w:cs="Times New Roman" w:eastAsia="Times New Roman" w:hAnsi="Times New Roman"/>
          <w:sz w:val="18"/>
          <w:szCs w:val="18"/>
          <w:color w:val="F37F00"/>
        </w:rPr>
      </w:pPr>
      <w:r>
        <w:rPr>
          <w:rFonts w:ascii="Arial" w:cs="Arial" w:eastAsia="Arial" w:hAnsi="Arial"/>
          <w:sz w:val="18"/>
          <w:szCs w:val="18"/>
          <w:color w:val="202124"/>
        </w:rPr>
        <w:t>EY has developed a deep understanding of AutoZone, its business, the industry in which it operates, its accounting policies and practices and its internal controls over financial reporting;</w:t>
      </w:r>
    </w:p>
    <w:p>
      <w:pPr>
        <w:spacing w:after="0" w:line="127" w:lineRule="exact"/>
        <w:rPr>
          <w:rFonts w:ascii="Times New Roman" w:cs="Times New Roman" w:eastAsia="Times New Roman" w:hAnsi="Times New Roman"/>
          <w:sz w:val="18"/>
          <w:szCs w:val="18"/>
          <w:color w:val="F37F00"/>
        </w:rPr>
      </w:pPr>
    </w:p>
    <w:p>
      <w:pPr>
        <w:ind w:left="1320" w:right="240" w:hanging="325"/>
        <w:spacing w:after="0" w:line="270" w:lineRule="auto"/>
        <w:tabs>
          <w:tab w:leader="none" w:pos="1320" w:val="left"/>
        </w:tabs>
        <w:numPr>
          <w:ilvl w:val="0"/>
          <w:numId w:val="61"/>
        </w:numPr>
        <w:rPr>
          <w:rFonts w:ascii="Times New Roman" w:cs="Times New Roman" w:eastAsia="Times New Roman" w:hAnsi="Times New Roman"/>
          <w:sz w:val="18"/>
          <w:szCs w:val="18"/>
          <w:color w:val="F37F00"/>
        </w:rPr>
      </w:pPr>
      <w:r>
        <w:rPr>
          <w:rFonts w:ascii="Arial" w:cs="Arial" w:eastAsia="Arial" w:hAnsi="Arial"/>
          <w:sz w:val="18"/>
          <w:szCs w:val="18"/>
          <w:color w:val="202124"/>
        </w:rPr>
        <w:t>Efficiencies have been gained in the audit process, resulting in an efficient fee structure that is competitive with our peer companies, while continuing to provide high quality service; and</w:t>
      </w:r>
    </w:p>
    <w:p>
      <w:pPr>
        <w:spacing w:after="0" w:line="113" w:lineRule="exact"/>
        <w:rPr>
          <w:rFonts w:ascii="Times New Roman" w:cs="Times New Roman" w:eastAsia="Times New Roman" w:hAnsi="Times New Roman"/>
          <w:sz w:val="18"/>
          <w:szCs w:val="18"/>
          <w:color w:val="F37F00"/>
        </w:rPr>
      </w:pPr>
    </w:p>
    <w:p>
      <w:pPr>
        <w:ind w:left="1320" w:hanging="325"/>
        <w:spacing w:after="0" w:line="270" w:lineRule="auto"/>
        <w:tabs>
          <w:tab w:leader="none" w:pos="1320" w:val="left"/>
        </w:tabs>
        <w:numPr>
          <w:ilvl w:val="0"/>
          <w:numId w:val="61"/>
        </w:numPr>
        <w:rPr>
          <w:rFonts w:ascii="Times New Roman" w:cs="Times New Roman" w:eastAsia="Times New Roman" w:hAnsi="Times New Roman"/>
          <w:sz w:val="18"/>
          <w:szCs w:val="18"/>
          <w:color w:val="F37F00"/>
        </w:rPr>
      </w:pPr>
      <w:r>
        <w:rPr>
          <w:rFonts w:ascii="Arial" w:cs="Arial" w:eastAsia="Arial" w:hAnsi="Arial"/>
          <w:sz w:val="18"/>
          <w:szCs w:val="18"/>
          <w:color w:val="202124"/>
        </w:rPr>
        <w:t>Appointing a new audit firm would require a significant amount of management’s time for effective onboarding and transitioning.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31</w:t>
            </w:r>
          </w:p>
        </w:tc>
      </w:tr>
    </w:tbl>
    <w:p>
      <w:pPr>
        <w:sectPr>
          <w:pgSz w:w="11900" w:h="16838" w:orient="portrait"/>
          <w:cols w:equalWidth="0" w:num="1">
            <w:col w:w="10360"/>
          </w:cols>
          <w:pgMar w:left="440" w:top="106" w:right="1099" w:bottom="1440" w:gutter="0" w:footer="0" w:header="0"/>
        </w:sectPr>
      </w:pPr>
    </w:p>
    <w:bookmarkStart w:id="34" w:name="page35"/>
    <w:bookmarkEnd w:id="3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AUDIT AND NON-AUDIT FEES</w:t>
      </w:r>
    </w:p>
    <w:p>
      <w:pPr>
        <w:spacing w:after="0" w:line="104" w:lineRule="exact"/>
        <w:rPr>
          <w:sz w:val="20"/>
          <w:szCs w:val="20"/>
          <w:color w:val="auto"/>
        </w:rPr>
      </w:pPr>
    </w:p>
    <w:p>
      <w:pPr>
        <w:ind w:left="640" w:right="100"/>
        <w:spacing w:after="0" w:line="247" w:lineRule="auto"/>
        <w:rPr>
          <w:sz w:val="20"/>
          <w:szCs w:val="20"/>
          <w:color w:val="auto"/>
        </w:rPr>
      </w:pPr>
      <w:r>
        <w:rPr>
          <w:rFonts w:ascii="Arial" w:cs="Arial" w:eastAsia="Arial" w:hAnsi="Arial"/>
          <w:sz w:val="18"/>
          <w:szCs w:val="18"/>
          <w:color w:val="202124"/>
        </w:rPr>
        <w:t>The aggregate fees for professional services rendered by EY during the past two fiscal years for the annual audit of our consolidated financial statements, the review of our quarterly interim consolidated financial statements, and audit-related, tax, and all other services performed, are set forth in the table below. Amounts reported for FY26 include estimates to be billed for services rendered.</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189"/>
        </w:trPr>
        <w:tc>
          <w:tcPr>
            <w:tcW w:w="3540" w:type="dxa"/>
            <w:vAlign w:val="bottom"/>
            <w:shd w:val="clear" w:color="auto" w:fill="202124"/>
          </w:tcPr>
          <w:p>
            <w:pPr>
              <w:spacing w:after="0"/>
              <w:rPr>
                <w:sz w:val="16"/>
                <w:szCs w:val="16"/>
                <w:color w:val="auto"/>
              </w:rPr>
            </w:pPr>
          </w:p>
        </w:tc>
        <w:tc>
          <w:tcPr>
            <w:tcW w:w="2100" w:type="dxa"/>
            <w:vAlign w:val="bottom"/>
            <w:shd w:val="clear" w:color="auto" w:fill="202124"/>
          </w:tcPr>
          <w:p>
            <w:pPr>
              <w:jc w:val="right"/>
              <w:ind w:right="34"/>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202124"/>
          </w:tcPr>
          <w:p>
            <w:pPr>
              <w:jc w:val="right"/>
              <w:ind w:right="294"/>
              <w:spacing w:after="0"/>
              <w:rPr>
                <w:sz w:val="20"/>
                <w:szCs w:val="20"/>
                <w:color w:val="auto"/>
              </w:rPr>
            </w:pPr>
            <w:r>
              <w:rPr>
                <w:rFonts w:ascii="Arial" w:cs="Arial" w:eastAsia="Arial" w:hAnsi="Arial"/>
                <w:sz w:val="14"/>
                <w:szCs w:val="14"/>
                <w:b w:val="1"/>
                <w:bCs w:val="1"/>
                <w:color w:val="FFFFFF"/>
              </w:rPr>
              <w:t>2026</w:t>
            </w:r>
          </w:p>
        </w:tc>
        <w:tc>
          <w:tcPr>
            <w:tcW w:w="320" w:type="dxa"/>
            <w:vAlign w:val="bottom"/>
            <w:shd w:val="clear" w:color="auto" w:fill="202124"/>
          </w:tcPr>
          <w:p>
            <w:pPr>
              <w:jc w:val="right"/>
              <w:ind w:right="54"/>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202124"/>
          </w:tcPr>
          <w:p>
            <w:pPr>
              <w:jc w:val="right"/>
              <w:ind w:right="274"/>
              <w:spacing w:after="0"/>
              <w:rPr>
                <w:sz w:val="20"/>
                <w:szCs w:val="20"/>
                <w:color w:val="auto"/>
              </w:rPr>
            </w:pPr>
            <w:r>
              <w:rPr>
                <w:rFonts w:ascii="Arial" w:cs="Arial" w:eastAsia="Arial" w:hAnsi="Arial"/>
                <w:sz w:val="14"/>
                <w:szCs w:val="14"/>
                <w:b w:val="1"/>
                <w:bCs w:val="1"/>
                <w:color w:val="FFFFFF"/>
              </w:rPr>
              <w:t>2025</w:t>
            </w:r>
          </w:p>
        </w:tc>
      </w:tr>
      <w:tr>
        <w:trPr>
          <w:trHeight w:val="243"/>
        </w:trPr>
        <w:tc>
          <w:tcPr>
            <w:tcW w:w="354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Audit Fees</w:t>
            </w:r>
          </w:p>
        </w:tc>
        <w:tc>
          <w:tcPr>
            <w:tcW w:w="2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3,889,180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3,168,046</w:t>
            </w:r>
          </w:p>
        </w:tc>
      </w:tr>
      <w:tr>
        <w:trPr>
          <w:trHeight w:val="237"/>
        </w:trPr>
        <w:tc>
          <w:tcPr>
            <w:tcW w:w="3540" w:type="dxa"/>
            <w:vAlign w:val="bottom"/>
            <w:tcBorders>
              <w:bottom w:val="single" w:sz="8" w:color="808080"/>
            </w:tcBorders>
          </w:tcPr>
          <w:p>
            <w:pPr>
              <w:spacing w:after="0" w:line="236" w:lineRule="exact"/>
              <w:rPr>
                <w:sz w:val="20"/>
                <w:szCs w:val="20"/>
                <w:color w:val="auto"/>
              </w:rPr>
            </w:pPr>
            <w:r>
              <w:rPr>
                <w:rFonts w:ascii="Arial" w:cs="Arial" w:eastAsia="Arial" w:hAnsi="Arial"/>
                <w:sz w:val="18"/>
                <w:szCs w:val="18"/>
                <w:color w:val="202124"/>
              </w:rPr>
              <w:t>Audit-Related Fees</w:t>
            </w:r>
            <w:r>
              <w:rPr>
                <w:rFonts w:ascii="Arial" w:cs="Arial" w:eastAsia="Arial" w:hAnsi="Arial"/>
                <w:sz w:val="26"/>
                <w:szCs w:val="26"/>
                <w:color w:val="202124"/>
                <w:vertAlign w:val="superscript"/>
              </w:rPr>
              <w:t>(1)</w:t>
            </w:r>
          </w:p>
        </w:tc>
        <w:tc>
          <w:tcPr>
            <w:tcW w:w="2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819,500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767,820</w:t>
            </w:r>
          </w:p>
        </w:tc>
      </w:tr>
      <w:tr>
        <w:trPr>
          <w:trHeight w:val="237"/>
        </w:trPr>
        <w:tc>
          <w:tcPr>
            <w:tcW w:w="3540" w:type="dxa"/>
            <w:vAlign w:val="bottom"/>
            <w:tcBorders>
              <w:bottom w:val="single" w:sz="8" w:color="808080"/>
            </w:tcBorders>
          </w:tcPr>
          <w:p>
            <w:pPr>
              <w:spacing w:after="0" w:line="236" w:lineRule="exact"/>
              <w:rPr>
                <w:sz w:val="20"/>
                <w:szCs w:val="20"/>
                <w:color w:val="auto"/>
              </w:rPr>
            </w:pPr>
            <w:r>
              <w:rPr>
                <w:rFonts w:ascii="Arial" w:cs="Arial" w:eastAsia="Arial" w:hAnsi="Arial"/>
                <w:sz w:val="18"/>
                <w:szCs w:val="18"/>
                <w:color w:val="202124"/>
              </w:rPr>
              <w:t>Tax Fees</w:t>
            </w:r>
            <w:r>
              <w:rPr>
                <w:rFonts w:ascii="Arial" w:cs="Arial" w:eastAsia="Arial" w:hAnsi="Arial"/>
                <w:sz w:val="26"/>
                <w:szCs w:val="26"/>
                <w:color w:val="202124"/>
                <w:vertAlign w:val="superscript"/>
              </w:rPr>
              <w:t>(2)</w:t>
            </w:r>
          </w:p>
        </w:tc>
        <w:tc>
          <w:tcPr>
            <w:tcW w:w="2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679,600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582,750</w:t>
            </w:r>
          </w:p>
        </w:tc>
      </w:tr>
      <w:tr>
        <w:trPr>
          <w:trHeight w:val="257"/>
        </w:trPr>
        <w:tc>
          <w:tcPr>
            <w:tcW w:w="3540" w:type="dxa"/>
            <w:vAlign w:val="bottom"/>
            <w:tcBorders>
              <w:bottom w:val="single" w:sz="8" w:color="202124"/>
            </w:tcBorders>
          </w:tcPr>
          <w:p>
            <w:pPr>
              <w:spacing w:after="0"/>
              <w:rPr>
                <w:sz w:val="20"/>
                <w:szCs w:val="20"/>
                <w:color w:val="auto"/>
              </w:rPr>
            </w:pPr>
            <w:r>
              <w:rPr>
                <w:rFonts w:ascii="Arial" w:cs="Arial" w:eastAsia="Arial" w:hAnsi="Arial"/>
                <w:sz w:val="18"/>
                <w:szCs w:val="18"/>
                <w:color w:val="202124"/>
              </w:rPr>
              <w:t>All Other Fees</w:t>
            </w:r>
          </w:p>
        </w:tc>
        <w:tc>
          <w:tcPr>
            <w:tcW w:w="210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w:t>
            </w:r>
          </w:p>
        </w:tc>
        <w:tc>
          <w:tcPr>
            <w:tcW w:w="92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w:t>
            </w:r>
          </w:p>
        </w:tc>
        <w:tc>
          <w:tcPr>
            <w:tcW w:w="32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w:t>
            </w:r>
          </w:p>
        </w:tc>
      </w:tr>
    </w:tbl>
    <w:p>
      <w:pPr>
        <w:spacing w:after="0" w:line="107" w:lineRule="exact"/>
        <w:rPr>
          <w:sz w:val="20"/>
          <w:szCs w:val="20"/>
          <w:color w:val="auto"/>
        </w:rPr>
      </w:pPr>
    </w:p>
    <w:p>
      <w:pPr>
        <w:ind w:left="960" w:right="480" w:hanging="316"/>
        <w:spacing w:after="0" w:line="256" w:lineRule="auto"/>
        <w:tabs>
          <w:tab w:leader="none" w:pos="960" w:val="left"/>
        </w:tabs>
        <w:numPr>
          <w:ilvl w:val="0"/>
          <w:numId w:val="62"/>
        </w:numPr>
        <w:rPr>
          <w:rFonts w:ascii="Arial" w:cs="Arial" w:eastAsia="Arial" w:hAnsi="Arial"/>
          <w:sz w:val="16"/>
          <w:szCs w:val="16"/>
          <w:color w:val="202124"/>
        </w:rPr>
      </w:pPr>
      <w:r>
        <w:rPr>
          <w:rFonts w:ascii="Arial" w:cs="Arial" w:eastAsia="Arial" w:hAnsi="Arial"/>
          <w:sz w:val="16"/>
          <w:szCs w:val="16"/>
          <w:color w:val="202124"/>
        </w:rPr>
        <w:t>Relates to pre-implementation assessment services in connection with a new enterprise resource planning system and other technology investments.</w:t>
      </w:r>
    </w:p>
    <w:p>
      <w:pPr>
        <w:spacing w:after="0" w:line="1" w:lineRule="exact"/>
        <w:rPr>
          <w:rFonts w:ascii="Arial" w:cs="Arial" w:eastAsia="Arial" w:hAnsi="Arial"/>
          <w:sz w:val="16"/>
          <w:szCs w:val="16"/>
          <w:color w:val="202124"/>
        </w:rPr>
      </w:pPr>
    </w:p>
    <w:p>
      <w:pPr>
        <w:ind w:left="960" w:hanging="316"/>
        <w:spacing w:after="0"/>
        <w:tabs>
          <w:tab w:leader="none" w:pos="960" w:val="left"/>
        </w:tabs>
        <w:numPr>
          <w:ilvl w:val="0"/>
          <w:numId w:val="62"/>
        </w:numPr>
        <w:rPr>
          <w:rFonts w:ascii="Arial" w:cs="Arial" w:eastAsia="Arial" w:hAnsi="Arial"/>
          <w:sz w:val="16"/>
          <w:szCs w:val="16"/>
          <w:color w:val="202124"/>
        </w:rPr>
      </w:pPr>
      <w:r>
        <w:rPr>
          <w:rFonts w:ascii="Arial" w:cs="Arial" w:eastAsia="Arial" w:hAnsi="Arial"/>
          <w:sz w:val="16"/>
          <w:szCs w:val="16"/>
          <w:color w:val="202124"/>
        </w:rPr>
        <w:t>Relates to domestic and international tax services, including tax compliance and tax planning.</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AUDIT COMMITTEE PRE-APPROVAL</w:t>
      </w:r>
    </w:p>
    <w:p>
      <w:pPr>
        <w:spacing w:after="0" w:line="104"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color w:val="202124"/>
        </w:rPr>
        <w:t>The Audit Committee pre-approves all services performed by the independent registered public accounting firm under the terms contained in the Audit Committee charter, a copy of which can be obtained on the Investor Relations page of our website at www.autozone.com. The Audit Committee pre-approved 100% of the services provided by EY during the 2026 and 2025 fiscal years. The Audit Committee considers the services listed above to be compatible with maintaining Ernst &amp; Young LLP’s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32   </w:t>
      </w:r>
      <w:r>
        <w:rPr>
          <w:sz w:val="1"/>
          <w:szCs w:val="1"/>
          <w:color w:val="auto"/>
        </w:rPr>
        <w:drawing>
          <wp:inline distT="0" distB="0" distL="0" distR="0">
            <wp:extent cx="116586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35" w:name="page36"/>
    <w:bookmarkEnd w:id="3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right="740"/>
        <w:spacing w:after="0" w:line="245" w:lineRule="auto"/>
        <w:rPr>
          <w:sz w:val="20"/>
          <w:szCs w:val="20"/>
          <w:color w:val="auto"/>
        </w:rPr>
      </w:pPr>
      <w:r>
        <w:rPr>
          <w:rFonts w:ascii="Arial" w:cs="Arial" w:eastAsia="Arial" w:hAnsi="Arial"/>
          <w:sz w:val="43"/>
          <w:szCs w:val="43"/>
          <w:color w:val="F37F00"/>
        </w:rPr>
        <w:t xml:space="preserve">PROPOSAL 3: </w:t>
      </w:r>
      <w:r>
        <w:rPr>
          <w:rFonts w:ascii="Arial" w:cs="Arial" w:eastAsia="Arial" w:hAnsi="Arial"/>
          <w:sz w:val="43"/>
          <w:szCs w:val="43"/>
          <w:b w:val="1"/>
          <w:bCs w:val="1"/>
          <w:color w:val="F37F00"/>
        </w:rPr>
        <w:t>Advisory Vote on the</w:t>
      </w:r>
      <w:r>
        <w:rPr>
          <w:rFonts w:ascii="Arial" w:cs="Arial" w:eastAsia="Arial" w:hAnsi="Arial"/>
          <w:sz w:val="43"/>
          <w:szCs w:val="43"/>
          <w:color w:val="F37F00"/>
        </w:rPr>
        <w:t xml:space="preserve"> </w:t>
      </w:r>
      <w:r>
        <w:rPr>
          <w:rFonts w:ascii="Arial" w:cs="Arial" w:eastAsia="Arial" w:hAnsi="Arial"/>
          <w:sz w:val="43"/>
          <w:szCs w:val="43"/>
          <w:b w:val="1"/>
          <w:bCs w:val="1"/>
          <w:color w:val="F37F00"/>
        </w:rPr>
        <w:t>Compensation of Named Executive Officers</w:t>
      </w:r>
    </w:p>
    <w:p>
      <w:pPr>
        <w:spacing w:after="0" w:line="14" w:lineRule="exact"/>
        <w:rPr>
          <w:sz w:val="20"/>
          <w:szCs w:val="20"/>
          <w:color w:val="auto"/>
        </w:rPr>
      </w:pPr>
    </w:p>
    <w:p>
      <w:pPr>
        <w:ind w:left="640" w:right="40"/>
        <w:spacing w:after="0" w:line="247" w:lineRule="auto"/>
        <w:rPr>
          <w:sz w:val="20"/>
          <w:szCs w:val="20"/>
          <w:color w:val="auto"/>
        </w:rPr>
      </w:pPr>
      <w:r>
        <w:rPr>
          <w:rFonts w:ascii="Arial" w:cs="Arial" w:eastAsia="Arial" w:hAnsi="Arial"/>
          <w:sz w:val="18"/>
          <w:szCs w:val="18"/>
          <w:b w:val="1"/>
          <w:bCs w:val="1"/>
          <w:color w:val="202124"/>
        </w:rPr>
        <w:t xml:space="preserve">DESCRIPTION OF PROPOSAL. </w:t>
      </w:r>
      <w:r>
        <w:rPr>
          <w:rFonts w:ascii="Arial" w:cs="Arial" w:eastAsia="Arial" w:hAnsi="Arial"/>
          <w:sz w:val="18"/>
          <w:szCs w:val="18"/>
          <w:color w:val="202124"/>
        </w:rPr>
        <w:t>In accordance with Section 14A of the Exchange Act, we are asking stockholders to</w:t>
      </w:r>
      <w:r>
        <w:rPr>
          <w:rFonts w:ascii="Arial" w:cs="Arial" w:eastAsia="Arial" w:hAnsi="Arial"/>
          <w:sz w:val="18"/>
          <w:szCs w:val="18"/>
          <w:b w:val="1"/>
          <w:bCs w:val="1"/>
          <w:color w:val="202124"/>
        </w:rPr>
        <w:t xml:space="preserve"> </w:t>
      </w:r>
      <w:r>
        <w:rPr>
          <w:rFonts w:ascii="Arial" w:cs="Arial" w:eastAsia="Arial" w:hAnsi="Arial"/>
          <w:sz w:val="18"/>
          <w:szCs w:val="18"/>
          <w:color w:val="202124"/>
        </w:rPr>
        <w:t>approve the following advisory resolution on the compensation of our Principal Executive Officer, our Principal Financial Officer, and our other three most highly paid executive officers (collectively, the “Named Executive Officers”) at the Annual Meeting:</w:t>
      </w:r>
    </w:p>
    <w:p>
      <w:pPr>
        <w:spacing w:after="0" w:line="133" w:lineRule="exact"/>
        <w:rPr>
          <w:sz w:val="20"/>
          <w:szCs w:val="20"/>
          <w:color w:val="auto"/>
        </w:rPr>
      </w:pPr>
    </w:p>
    <w:p>
      <w:pPr>
        <w:ind w:left="1000"/>
        <w:spacing w:after="0" w:line="247" w:lineRule="auto"/>
        <w:rPr>
          <w:sz w:val="20"/>
          <w:szCs w:val="20"/>
          <w:color w:val="auto"/>
        </w:rPr>
      </w:pPr>
      <w:r>
        <w:rPr>
          <w:rFonts w:ascii="Arial" w:cs="Arial" w:eastAsia="Arial" w:hAnsi="Arial"/>
          <w:sz w:val="18"/>
          <w:szCs w:val="18"/>
          <w:color w:val="202124"/>
        </w:rPr>
        <w:t>“RESOLVED, that the compensation paid to AutoZone’s Named Executive Officers, as disclosed in this Proxy Statement pursuant to the compensation disclosure rules of the Securities and Exchange Commission, including the Compensation Discussion and Analysis, the accompanying compensation tables and the related narrative discussion, is hereby APPROVED.”</w:t>
      </w:r>
    </w:p>
    <w:p>
      <w:pPr>
        <w:spacing w:after="0" w:line="147" w:lineRule="exact"/>
        <w:rPr>
          <w:sz w:val="20"/>
          <w:szCs w:val="20"/>
          <w:color w:val="auto"/>
        </w:rPr>
      </w:pPr>
    </w:p>
    <w:p>
      <w:pPr>
        <w:jc w:val="both"/>
        <w:ind w:left="640" w:right="200"/>
        <w:spacing w:after="0" w:line="253" w:lineRule="auto"/>
        <w:rPr>
          <w:sz w:val="20"/>
          <w:szCs w:val="20"/>
          <w:color w:val="auto"/>
        </w:rPr>
      </w:pPr>
      <w:r>
        <w:rPr>
          <w:rFonts w:ascii="Arial" w:cs="Arial" w:eastAsia="Arial" w:hAnsi="Arial"/>
          <w:sz w:val="18"/>
          <w:szCs w:val="18"/>
          <w:b w:val="1"/>
          <w:bCs w:val="1"/>
          <w:color w:val="202124"/>
        </w:rPr>
        <w:t xml:space="preserve">VOTES REQUIRED. </w:t>
      </w:r>
      <w:r>
        <w:rPr>
          <w:rFonts w:ascii="Arial" w:cs="Arial" w:eastAsia="Arial" w:hAnsi="Arial"/>
          <w:sz w:val="18"/>
          <w:szCs w:val="18"/>
          <w:color w:val="202124"/>
        </w:rPr>
        <w:t>This matter will be approved if the number of votes cast FOR the proposal exceeds the number of</w:t>
      </w:r>
      <w:r>
        <w:rPr>
          <w:rFonts w:ascii="Arial" w:cs="Arial" w:eastAsia="Arial" w:hAnsi="Arial"/>
          <w:sz w:val="18"/>
          <w:szCs w:val="18"/>
          <w:b w:val="1"/>
          <w:bCs w:val="1"/>
          <w:color w:val="202124"/>
        </w:rPr>
        <w:t xml:space="preserve"> </w:t>
      </w:r>
      <w:r>
        <w:rPr>
          <w:rFonts w:ascii="Arial" w:cs="Arial" w:eastAsia="Arial" w:hAnsi="Arial"/>
          <w:sz w:val="18"/>
          <w:szCs w:val="18"/>
          <w:color w:val="202124"/>
        </w:rPr>
        <w:t>votes cast AGAINST the proposal. Abstentions and broker non-votes are not considered votes cast or shares entitled to vote with respect to this proposal and therefore will have no effect on the outcome of Proposal 3.</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 xml:space="preserve">IMPACT OF VOTE. </w:t>
      </w:r>
      <w:r>
        <w:rPr>
          <w:rFonts w:ascii="Arial" w:cs="Arial" w:eastAsia="Arial" w:hAnsi="Arial"/>
          <w:sz w:val="18"/>
          <w:szCs w:val="18"/>
          <w:color w:val="202124"/>
        </w:rPr>
        <w:t>This advisory vote, commonly known as a “say-on-pay” proposal, gives our stockholders the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opportunity to endorse or express disapproval of our executive pay program. Because the vote on this proposal is</w:t>
      </w:r>
    </w:p>
    <w:p>
      <w:pPr>
        <w:ind w:left="640"/>
        <w:spacing w:after="0" w:line="234" w:lineRule="auto"/>
        <w:rPr>
          <w:sz w:val="20"/>
          <w:szCs w:val="20"/>
          <w:color w:val="auto"/>
        </w:rPr>
      </w:pPr>
      <w:r>
        <w:rPr>
          <w:rFonts w:ascii="Arial" w:cs="Arial" w:eastAsia="Arial" w:hAnsi="Arial"/>
          <w:sz w:val="18"/>
          <w:szCs w:val="18"/>
          <w:color w:val="202124"/>
        </w:rPr>
        <w:t>advisory in nature, it is not binding on AutoZone, the Board or the Compensation Committee. The vote on this proposal</w:t>
      </w:r>
    </w:p>
    <w:p>
      <w:pPr>
        <w:ind w:left="640"/>
        <w:spacing w:after="0" w:line="235" w:lineRule="auto"/>
        <w:rPr>
          <w:sz w:val="20"/>
          <w:szCs w:val="20"/>
          <w:color w:val="auto"/>
        </w:rPr>
      </w:pPr>
      <w:r>
        <w:rPr>
          <w:rFonts w:ascii="Arial" w:cs="Arial" w:eastAsia="Arial" w:hAnsi="Arial"/>
          <w:sz w:val="18"/>
          <w:szCs w:val="18"/>
          <w:color w:val="202124"/>
        </w:rPr>
        <w:t>will, therefore, not affect any compensation already paid or awarded to any Named Executive Officer nor will it</w:t>
      </w:r>
    </w:p>
    <w:p>
      <w:pPr>
        <w:ind w:left="640"/>
        <w:spacing w:after="0" w:line="235" w:lineRule="auto"/>
        <w:rPr>
          <w:sz w:val="20"/>
          <w:szCs w:val="20"/>
          <w:color w:val="auto"/>
        </w:rPr>
      </w:pPr>
      <w:r>
        <w:rPr>
          <w:rFonts w:ascii="Arial" w:cs="Arial" w:eastAsia="Arial" w:hAnsi="Arial"/>
          <w:sz w:val="18"/>
          <w:szCs w:val="18"/>
          <w:color w:val="202124"/>
        </w:rPr>
        <w:t>overrule any decisions made by the Board or the Compensation Committee. Because we highly value the opinions of our</w:t>
      </w:r>
    </w:p>
    <w:p>
      <w:pPr>
        <w:ind w:left="640"/>
        <w:spacing w:after="0" w:line="235" w:lineRule="auto"/>
        <w:rPr>
          <w:sz w:val="20"/>
          <w:szCs w:val="20"/>
          <w:color w:val="auto"/>
        </w:rPr>
      </w:pPr>
      <w:r>
        <w:rPr>
          <w:rFonts w:ascii="Arial" w:cs="Arial" w:eastAsia="Arial" w:hAnsi="Arial"/>
          <w:sz w:val="18"/>
          <w:szCs w:val="18"/>
          <w:color w:val="202124"/>
        </w:rPr>
        <w:t>stockholders, the Board and the Compensation Committee will consider the results of this advisory vote when making</w:t>
      </w:r>
    </w:p>
    <w:p>
      <w:pPr>
        <w:ind w:left="640"/>
        <w:spacing w:after="0"/>
        <w:rPr>
          <w:sz w:val="20"/>
          <w:szCs w:val="20"/>
          <w:color w:val="auto"/>
        </w:rPr>
      </w:pPr>
      <w:r>
        <w:rPr>
          <w:rFonts w:ascii="Arial" w:cs="Arial" w:eastAsia="Arial" w:hAnsi="Arial"/>
          <w:sz w:val="18"/>
          <w:szCs w:val="18"/>
          <w:color w:val="202124"/>
        </w:rPr>
        <w:t>future executive compensation decisions.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 xml:space="preserve">BOARD RECOMMENDATION. </w:t>
      </w:r>
      <w:r>
        <w:rPr>
          <w:rFonts w:ascii="Arial" w:cs="Arial" w:eastAsia="Arial" w:hAnsi="Arial"/>
          <w:sz w:val="18"/>
          <w:szCs w:val="18"/>
          <w:color w:val="202124"/>
        </w:rPr>
        <w:t>The Board believes that AutoZone’s executive compensation program, as described in</w:t>
      </w:r>
      <w:r>
        <w:rPr>
          <w:rFonts w:ascii="Arial" w:cs="Arial" w:eastAsia="Arial" w:hAnsi="Arial"/>
          <w:sz w:val="18"/>
          <w:szCs w:val="18"/>
          <w:b w:val="1"/>
          <w:bCs w:val="1"/>
          <w:color w:val="202124"/>
        </w:rPr>
        <w:t xml:space="preserve"> </w:t>
      </w:r>
      <w:r>
        <w:rPr>
          <w:rFonts w:ascii="Arial" w:cs="Arial" w:eastAsia="Arial" w:hAnsi="Arial"/>
          <w:sz w:val="18"/>
          <w:szCs w:val="18"/>
          <w:color w:val="202124"/>
        </w:rPr>
        <w:t>the Compensation Discussion and Analysis, is effective in achieving the Company’s goals of driving superior performance, retention and stockholder value. Our Board and Compensation Committee believe that there should be a strong relationship between pay and performance, and our executive compensation program reflects this belief. We urge you to read the Compensation Discussion and Analysis, as well as the compensation tables and narrative, set forth herein, which provide detailed information on our compensation philosophy, policies and practices and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202124"/>
        </w:rPr>
        <w:t xml:space="preserve">The Board recommends that stockholders vote </w:t>
      </w:r>
      <w:r>
        <w:rPr>
          <w:rFonts w:ascii="Arial" w:cs="Arial" w:eastAsia="Arial" w:hAnsi="Arial"/>
          <w:sz w:val="18"/>
          <w:szCs w:val="18"/>
          <w:b w:val="1"/>
          <w:bCs w:val="1"/>
          <w:color w:val="F37F00"/>
        </w:rPr>
        <w:t>FOR</w:t>
      </w:r>
      <w:r>
        <w:rPr>
          <w:rFonts w:ascii="Arial" w:cs="Arial" w:eastAsia="Arial" w:hAnsi="Arial"/>
          <w:sz w:val="18"/>
          <w:szCs w:val="18"/>
          <w:color w:val="202124"/>
        </w:rPr>
        <w:t xml:space="preserve"> the advisory vote on</w:t>
      </w:r>
    </w:p>
    <w:p>
      <w:pPr>
        <w:spacing w:after="0" w:line="14"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202124"/>
        </w:rPr>
        <w:t>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33</w:t>
            </w:r>
          </w:p>
        </w:tc>
      </w:tr>
    </w:tbl>
    <w:p>
      <w:pPr>
        <w:sectPr>
          <w:pgSz w:w="11900" w:h="16838" w:orient="portrait"/>
          <w:cols w:equalWidth="0" w:num="1">
            <w:col w:w="10360"/>
          </w:cols>
          <w:pgMar w:left="440" w:top="106" w:right="1099" w:bottom="1440" w:gutter="0" w:footer="0" w:header="0"/>
        </w:sectPr>
      </w:pPr>
    </w:p>
    <w:bookmarkStart w:id="36" w:name="page37"/>
    <w:bookmarkEnd w:id="3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right="240"/>
        <w:spacing w:after="0" w:line="229" w:lineRule="auto"/>
        <w:rPr>
          <w:sz w:val="20"/>
          <w:szCs w:val="20"/>
          <w:color w:val="auto"/>
        </w:rPr>
      </w:pPr>
      <w:r>
        <w:rPr>
          <w:rFonts w:ascii="Arial" w:cs="Arial" w:eastAsia="Arial" w:hAnsi="Arial"/>
          <w:sz w:val="43"/>
          <w:szCs w:val="43"/>
          <w:color w:val="202124"/>
        </w:rPr>
        <w:t xml:space="preserve">PROPOSAL 4: </w:t>
      </w:r>
      <w:r>
        <w:rPr>
          <w:rFonts w:ascii="Arial" w:cs="Arial" w:eastAsia="Arial" w:hAnsi="Arial"/>
          <w:sz w:val="43"/>
          <w:szCs w:val="43"/>
          <w:b w:val="1"/>
          <w:bCs w:val="1"/>
          <w:color w:val="202124"/>
        </w:rPr>
        <w:t>Approval of the AutoZone, Inc.</w:t>
      </w:r>
      <w:r>
        <w:rPr>
          <w:rFonts w:ascii="Arial" w:cs="Arial" w:eastAsia="Arial" w:hAnsi="Arial"/>
          <w:sz w:val="43"/>
          <w:szCs w:val="43"/>
          <w:color w:val="202124"/>
        </w:rPr>
        <w:t xml:space="preserve"> </w:t>
      </w:r>
      <w:r>
        <w:rPr>
          <w:rFonts w:ascii="Arial" w:cs="Arial" w:eastAsia="Arial" w:hAnsi="Arial"/>
          <w:sz w:val="43"/>
          <w:szCs w:val="43"/>
          <w:b w:val="1"/>
          <w:bCs w:val="1"/>
          <w:color w:val="202124"/>
        </w:rPr>
        <w:t>Ninth Amended and Restated Employee Stock Purchase Plan</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DESCRIPTION OF PROPOSAL.</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General</w:t>
      </w:r>
    </w:p>
    <w:p>
      <w:pPr>
        <w:spacing w:after="0" w:line="156" w:lineRule="exact"/>
        <w:rPr>
          <w:sz w:val="20"/>
          <w:szCs w:val="20"/>
          <w:color w:val="auto"/>
        </w:rPr>
      </w:pPr>
    </w:p>
    <w:p>
      <w:pPr>
        <w:ind w:left="640" w:right="40" w:firstLine="441"/>
        <w:spacing w:after="0" w:line="259" w:lineRule="auto"/>
        <w:rPr>
          <w:sz w:val="20"/>
          <w:szCs w:val="20"/>
          <w:color w:val="auto"/>
        </w:rPr>
      </w:pPr>
      <w:r>
        <w:rPr>
          <w:rFonts w:ascii="Arial" w:cs="Arial" w:eastAsia="Arial" w:hAnsi="Arial"/>
          <w:sz w:val="17"/>
          <w:szCs w:val="17"/>
          <w:color w:val="202124"/>
        </w:rPr>
        <w:t>The following is a summary of the AutoZone, Inc. Ninth Amended and Restated Employee Stock Purchase Plan (the “ESPP”). The ESPP was initially adopted by the Board of Directors and approved by stockholders in 1991 and has been</w:t>
      </w:r>
    </w:p>
    <w:p>
      <w:pPr>
        <w:spacing w:after="0" w:line="1" w:lineRule="exact"/>
        <w:rPr>
          <w:sz w:val="20"/>
          <w:szCs w:val="20"/>
          <w:color w:val="auto"/>
        </w:rPr>
      </w:pPr>
    </w:p>
    <w:p>
      <w:pPr>
        <w:ind w:left="640" w:right="300"/>
        <w:spacing w:after="0"/>
        <w:rPr>
          <w:sz w:val="20"/>
          <w:szCs w:val="20"/>
          <w:color w:val="auto"/>
        </w:rPr>
      </w:pPr>
      <w:r>
        <w:rPr>
          <w:rFonts w:ascii="Arial" w:cs="Arial" w:eastAsia="Arial" w:hAnsi="Arial"/>
          <w:sz w:val="17"/>
          <w:szCs w:val="17"/>
          <w:color w:val="202124"/>
        </w:rPr>
        <w:t>amended and restated from time to time. The ESPP is intended to qualify as an “employee stock purchase plan” under Section 423 of the Internal Revenue Code of 1986, as amended (the “Code”). The amended and restated ESPP will</w:t>
      </w:r>
    </w:p>
    <w:p>
      <w:pPr>
        <w:ind w:left="640"/>
        <w:spacing w:after="0" w:line="235" w:lineRule="auto"/>
        <w:rPr>
          <w:sz w:val="20"/>
          <w:szCs w:val="20"/>
          <w:color w:val="auto"/>
        </w:rPr>
      </w:pPr>
      <w:r>
        <w:rPr>
          <w:rFonts w:ascii="Arial" w:cs="Arial" w:eastAsia="Arial" w:hAnsi="Arial"/>
          <w:sz w:val="18"/>
          <w:szCs w:val="18"/>
          <w:color w:val="202124"/>
        </w:rPr>
        <w:t>become effective if and when the amended and restated ESPP is approved by the affirmative vote of the holders of the</w:t>
      </w:r>
    </w:p>
    <w:p>
      <w:pPr>
        <w:ind w:left="640" w:right="100"/>
        <w:spacing w:after="0"/>
        <w:rPr>
          <w:sz w:val="20"/>
          <w:szCs w:val="20"/>
          <w:color w:val="auto"/>
        </w:rPr>
      </w:pPr>
      <w:r>
        <w:rPr>
          <w:rFonts w:ascii="Arial" w:cs="Arial" w:eastAsia="Arial" w:hAnsi="Arial"/>
          <w:sz w:val="17"/>
          <w:szCs w:val="17"/>
          <w:color w:val="202124"/>
        </w:rPr>
        <w:t xml:space="preserve">majority of the shares of AutoZone common stock present, or represented by proxy, and entitled to vote thereon at the Annual Meeting. The amended and restated ESPP extends the term of the ESPP to December 31, 2036. </w:t>
      </w:r>
      <w:r>
        <w:rPr>
          <w:rFonts w:ascii="Arial" w:cs="Arial" w:eastAsia="Arial" w:hAnsi="Arial"/>
          <w:sz w:val="17"/>
          <w:szCs w:val="17"/>
          <w:b w:val="1"/>
          <w:bCs w:val="1"/>
          <w:u w:val="single" w:color="auto"/>
          <w:color w:val="202124"/>
        </w:rPr>
        <w:t>No increase in</w:t>
      </w:r>
    </w:p>
    <w:p>
      <w:pPr>
        <w:ind w:left="640"/>
        <w:spacing w:after="0" w:line="235" w:lineRule="auto"/>
        <w:rPr>
          <w:sz w:val="20"/>
          <w:szCs w:val="20"/>
          <w:color w:val="auto"/>
        </w:rPr>
      </w:pPr>
      <w:r>
        <w:rPr>
          <w:rFonts w:ascii="Arial" w:cs="Arial" w:eastAsia="Arial" w:hAnsi="Arial"/>
          <w:sz w:val="18"/>
          <w:szCs w:val="18"/>
          <w:b w:val="1"/>
          <w:bCs w:val="1"/>
          <w:u w:val="single" w:color="auto"/>
          <w:color w:val="202124"/>
        </w:rPr>
        <w:t>the number of shares authorized for grant under the ESPP is sought by AutoZone at this time.</w:t>
      </w:r>
      <w:r>
        <w:rPr>
          <w:rFonts w:ascii="Arial" w:cs="Arial" w:eastAsia="Arial" w:hAnsi="Arial"/>
          <w:sz w:val="18"/>
          <w:szCs w:val="18"/>
          <w:b w:val="1"/>
          <w:bCs w:val="1"/>
          <w:color w:val="202124"/>
        </w:rPr>
        <w:t xml:space="preserve"> </w:t>
      </w:r>
      <w:r>
        <w:rPr>
          <w:rFonts w:ascii="Arial" w:cs="Arial" w:eastAsia="Arial" w:hAnsi="Arial"/>
          <w:sz w:val="18"/>
          <w:szCs w:val="18"/>
          <w:color w:val="202124"/>
        </w:rPr>
        <w:t>The following</w:t>
      </w:r>
    </w:p>
    <w:p>
      <w:pPr>
        <w:ind w:left="640" w:right="120"/>
        <w:spacing w:after="0" w:line="237" w:lineRule="auto"/>
        <w:rPr>
          <w:sz w:val="20"/>
          <w:szCs w:val="20"/>
          <w:color w:val="auto"/>
        </w:rPr>
      </w:pPr>
      <w:r>
        <w:rPr>
          <w:rFonts w:ascii="Arial" w:cs="Arial" w:eastAsia="Arial" w:hAnsi="Arial"/>
          <w:sz w:val="18"/>
          <w:szCs w:val="18"/>
          <w:color w:val="202124"/>
        </w:rPr>
        <w:t>summary is qualified in its entirety by reference to the amended and restated ESPP document, which is reproduced in its entirety as Exhibit A to this Proxy Statement.</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Purpose of the ESPP</w:t>
      </w:r>
    </w:p>
    <w:p>
      <w:pPr>
        <w:spacing w:after="0" w:line="156" w:lineRule="exact"/>
        <w:rPr>
          <w:sz w:val="20"/>
          <w:szCs w:val="20"/>
          <w:color w:val="auto"/>
        </w:rPr>
      </w:pPr>
    </w:p>
    <w:p>
      <w:pPr>
        <w:ind w:left="640" w:right="20" w:firstLine="441"/>
        <w:spacing w:after="0" w:line="259" w:lineRule="auto"/>
        <w:rPr>
          <w:sz w:val="20"/>
          <w:szCs w:val="20"/>
          <w:color w:val="auto"/>
        </w:rPr>
      </w:pPr>
      <w:r>
        <w:rPr>
          <w:rFonts w:ascii="Arial" w:cs="Arial" w:eastAsia="Arial" w:hAnsi="Arial"/>
          <w:sz w:val="17"/>
          <w:szCs w:val="17"/>
          <w:color w:val="202124"/>
        </w:rPr>
        <w:t>The purpose of the ESPP is to provide eligible AutoZoners of the Company and its designated subsidiaries with an opportunity to purchase shares of AutoZone common stock at a discounted price through payroll deductions. The ESPP is</w:t>
      </w:r>
    </w:p>
    <w:p>
      <w:pPr>
        <w:spacing w:after="0" w:line="1" w:lineRule="exact"/>
        <w:rPr>
          <w:sz w:val="20"/>
          <w:szCs w:val="20"/>
          <w:color w:val="auto"/>
        </w:rPr>
      </w:pPr>
    </w:p>
    <w:p>
      <w:pPr>
        <w:ind w:left="640" w:right="300"/>
        <w:spacing w:after="0" w:line="237" w:lineRule="auto"/>
        <w:rPr>
          <w:sz w:val="20"/>
          <w:szCs w:val="20"/>
          <w:color w:val="auto"/>
        </w:rPr>
      </w:pPr>
      <w:r>
        <w:rPr>
          <w:rFonts w:ascii="Arial" w:cs="Arial" w:eastAsia="Arial" w:hAnsi="Arial"/>
          <w:sz w:val="18"/>
          <w:szCs w:val="18"/>
          <w:color w:val="202124"/>
        </w:rPr>
        <w:t>intended to qualify as an “employee stock purchase plan” under Section 423 of the Code, which provides favorable tax treatment to participating AutoZoners.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Key Changes from Prior Version of ESPP</w:t>
      </w:r>
    </w:p>
    <w:p>
      <w:pPr>
        <w:spacing w:after="0" w:line="183" w:lineRule="exact"/>
        <w:rPr>
          <w:sz w:val="20"/>
          <w:szCs w:val="20"/>
          <w:color w:val="auto"/>
        </w:rPr>
      </w:pPr>
    </w:p>
    <w:p>
      <w:pPr>
        <w:ind w:left="1320" w:right="40" w:hanging="325"/>
        <w:spacing w:after="0" w:line="270" w:lineRule="auto"/>
        <w:tabs>
          <w:tab w:leader="none" w:pos="1320" w:val="left"/>
        </w:tabs>
        <w:numPr>
          <w:ilvl w:val="0"/>
          <w:numId w:val="63"/>
        </w:numPr>
        <w:rPr>
          <w:rFonts w:ascii="Times New Roman" w:cs="Times New Roman" w:eastAsia="Times New Roman" w:hAnsi="Times New Roman"/>
          <w:sz w:val="18"/>
          <w:szCs w:val="18"/>
          <w:color w:val="F37F00"/>
        </w:rPr>
      </w:pPr>
      <w:r>
        <w:rPr>
          <w:rFonts w:ascii="Arial" w:cs="Arial" w:eastAsia="Arial" w:hAnsi="Arial"/>
          <w:sz w:val="18"/>
          <w:szCs w:val="18"/>
          <w:color w:val="202124"/>
        </w:rPr>
        <w:t>Increase the limit of Eligible Compensation that may be withheld per pay period for purchase of options under the ESPP from 10% to 20%.</w:t>
      </w:r>
    </w:p>
    <w:p>
      <w:pPr>
        <w:spacing w:after="0" w:line="46" w:lineRule="exact"/>
        <w:rPr>
          <w:rFonts w:ascii="Times New Roman" w:cs="Times New Roman" w:eastAsia="Times New Roman" w:hAnsi="Times New Roman"/>
          <w:sz w:val="18"/>
          <w:szCs w:val="18"/>
          <w:color w:val="F37F00"/>
        </w:rPr>
      </w:pPr>
    </w:p>
    <w:p>
      <w:pPr>
        <w:ind w:left="1320" w:right="380" w:hanging="325"/>
        <w:spacing w:after="0" w:line="270" w:lineRule="auto"/>
        <w:tabs>
          <w:tab w:leader="none" w:pos="1320" w:val="left"/>
        </w:tabs>
        <w:numPr>
          <w:ilvl w:val="0"/>
          <w:numId w:val="63"/>
        </w:numPr>
        <w:rPr>
          <w:rFonts w:ascii="Times New Roman" w:cs="Times New Roman" w:eastAsia="Times New Roman" w:hAnsi="Times New Roman"/>
          <w:sz w:val="18"/>
          <w:szCs w:val="18"/>
          <w:color w:val="F37F00"/>
        </w:rPr>
      </w:pPr>
      <w:r>
        <w:rPr>
          <w:rFonts w:ascii="Arial" w:cs="Arial" w:eastAsia="Arial" w:hAnsi="Arial"/>
          <w:sz w:val="18"/>
          <w:szCs w:val="18"/>
          <w:color w:val="202124"/>
        </w:rPr>
        <w:t>Increase the maximum amount of Eligible Compensation that may be elected by a participant for purchase of options per calendar year from $15,000 to $20,000 under the ESPP.</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Eligibility</w:t>
      </w:r>
    </w:p>
    <w:p>
      <w:pPr>
        <w:spacing w:after="0" w:line="156" w:lineRule="exact"/>
        <w:rPr>
          <w:sz w:val="20"/>
          <w:szCs w:val="20"/>
          <w:color w:val="auto"/>
        </w:rPr>
      </w:pPr>
    </w:p>
    <w:p>
      <w:pPr>
        <w:ind w:left="640" w:right="460" w:firstLine="441"/>
        <w:spacing w:after="0" w:line="245" w:lineRule="auto"/>
        <w:rPr>
          <w:sz w:val="20"/>
          <w:szCs w:val="20"/>
          <w:color w:val="auto"/>
        </w:rPr>
      </w:pPr>
      <w:r>
        <w:rPr>
          <w:rFonts w:ascii="Arial" w:cs="Arial" w:eastAsia="Arial" w:hAnsi="Arial"/>
          <w:sz w:val="18"/>
          <w:szCs w:val="18"/>
          <w:color w:val="202124"/>
        </w:rPr>
        <w:t>All employees of the Company and its designated subsidiaries are eligible to participate in the ESPP, subject to certain limitations. As of the date of this Proxy Statement, approximately 80,822 of our AutoZoners are eligible to</w:t>
      </w:r>
    </w:p>
    <w:p>
      <w:pPr>
        <w:ind w:left="640" w:right="140"/>
        <w:spacing w:after="0" w:line="226" w:lineRule="auto"/>
        <w:rPr>
          <w:sz w:val="20"/>
          <w:szCs w:val="20"/>
          <w:color w:val="auto"/>
        </w:rPr>
      </w:pPr>
      <w:r>
        <w:rPr>
          <w:rFonts w:ascii="Arial" w:cs="Arial" w:eastAsia="Arial" w:hAnsi="Arial"/>
          <w:sz w:val="18"/>
          <w:szCs w:val="18"/>
          <w:color w:val="202124"/>
        </w:rPr>
        <w:t>participate in the ESPP. An AutoZoner may not be granted an option to purchase shares under the ESPP if, immediately after the grant, the AutoZoner would own stock possessing 5% or more of the total combined voting power or value of all</w:t>
      </w:r>
    </w:p>
    <w:p>
      <w:pPr>
        <w:ind w:left="640"/>
        <w:spacing w:after="0" w:line="236" w:lineRule="auto"/>
        <w:rPr>
          <w:sz w:val="20"/>
          <w:szCs w:val="20"/>
          <w:color w:val="auto"/>
        </w:rPr>
      </w:pPr>
      <w:r>
        <w:rPr>
          <w:rFonts w:ascii="Arial" w:cs="Arial" w:eastAsia="Arial" w:hAnsi="Arial"/>
          <w:sz w:val="18"/>
          <w:szCs w:val="18"/>
          <w:color w:val="202124"/>
        </w:rPr>
        <w:t>classes of stock of the Company or any subsidiary. Additionally, no AutoZoner may be granted an option to purchase</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202124"/>
        </w:rPr>
        <w:t>shares under the ESPP that would permit the AutoZoner to purchase more than $25,000 worth of stock (determined at fair market value at the time the option is granted) under all qualified employee stock purchase plans of the Company in any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calendar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Participation and Contributions</w:t>
      </w:r>
    </w:p>
    <w:p>
      <w:pPr>
        <w:spacing w:after="0" w:line="156" w:lineRule="exact"/>
        <w:rPr>
          <w:sz w:val="20"/>
          <w:szCs w:val="20"/>
          <w:color w:val="auto"/>
        </w:rPr>
      </w:pPr>
    </w:p>
    <w:p>
      <w:pPr>
        <w:ind w:left="640" w:right="80" w:firstLine="441"/>
        <w:spacing w:after="0" w:line="245" w:lineRule="auto"/>
        <w:rPr>
          <w:sz w:val="20"/>
          <w:szCs w:val="20"/>
          <w:color w:val="auto"/>
        </w:rPr>
      </w:pPr>
      <w:r>
        <w:rPr>
          <w:rFonts w:ascii="Arial" w:cs="Arial" w:eastAsia="Arial" w:hAnsi="Arial"/>
          <w:sz w:val="18"/>
          <w:szCs w:val="18"/>
          <w:color w:val="202124"/>
        </w:rPr>
        <w:t>Eligible AutoZoners may elect to participate in the ESPP by authorizing payroll deductions. The maximum amount that may be withheld by an eligible AutoZoner each pay period for use under the ESPP is 20% of the eligible AutoZoner’s</w:t>
      </w:r>
    </w:p>
    <w:p>
      <w:pPr>
        <w:ind w:left="640"/>
        <w:spacing w:after="0" w:line="226" w:lineRule="auto"/>
        <w:rPr>
          <w:sz w:val="20"/>
          <w:szCs w:val="20"/>
          <w:color w:val="auto"/>
        </w:rPr>
      </w:pPr>
      <w:r>
        <w:rPr>
          <w:rFonts w:ascii="Arial" w:cs="Arial" w:eastAsia="Arial" w:hAnsi="Arial"/>
          <w:sz w:val="18"/>
          <w:szCs w:val="18"/>
          <w:color w:val="202124"/>
        </w:rPr>
        <w:t>compensation. The maximum cumulative amount that may be withheld by an eligible AutoZoner for use under the ESPP during any calendar year during the term of the amended and restated ESPP may not exceed $20,000. Payroll deductions</w:t>
      </w:r>
    </w:p>
    <w:p>
      <w:pPr>
        <w:ind w:left="640"/>
        <w:spacing w:after="0" w:line="236" w:lineRule="auto"/>
        <w:rPr>
          <w:sz w:val="20"/>
          <w:szCs w:val="20"/>
          <w:color w:val="auto"/>
        </w:rPr>
      </w:pPr>
      <w:r>
        <w:rPr>
          <w:rFonts w:ascii="Arial" w:cs="Arial" w:eastAsia="Arial" w:hAnsi="Arial"/>
          <w:sz w:val="18"/>
          <w:szCs w:val="18"/>
          <w:color w:val="202124"/>
        </w:rPr>
        <w:t>are accumulated during each calendar quarter and used to purchase shares of AutoZone common stock at the end of the</w:t>
      </w:r>
    </w:p>
    <w:p>
      <w:pPr>
        <w:spacing w:after="0" w:line="1" w:lineRule="exact"/>
        <w:rPr>
          <w:sz w:val="20"/>
          <w:szCs w:val="20"/>
          <w:color w:val="auto"/>
        </w:rPr>
      </w:pPr>
    </w:p>
    <w:p>
      <w:pPr>
        <w:ind w:left="640" w:right="320"/>
        <w:spacing w:after="0" w:line="237" w:lineRule="auto"/>
        <w:rPr>
          <w:sz w:val="20"/>
          <w:szCs w:val="20"/>
          <w:color w:val="auto"/>
        </w:rPr>
      </w:pPr>
      <w:r>
        <w:rPr>
          <w:rFonts w:ascii="Arial" w:cs="Arial" w:eastAsia="Arial" w:hAnsi="Arial"/>
          <w:sz w:val="18"/>
          <w:szCs w:val="18"/>
          <w:color w:val="202124"/>
        </w:rPr>
        <w:t>quarter. Because participation in the ESPP is voluntary and the purchase price of shares under the ESPP is based on future stock prices, it is not possible to quantify with specificity the benefits that will be received by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34   </w:t>
      </w:r>
      <w:r>
        <w:rPr>
          <w:sz w:val="1"/>
          <w:szCs w:val="1"/>
          <w:color w:val="auto"/>
        </w:rPr>
        <w:drawing>
          <wp:inline distT="0" distB="0" distL="0" distR="0">
            <wp:extent cx="116586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37" w:name="page38"/>
    <w:bookmarkEnd w:id="3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Option Grants</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Options will be granted under the ESPP on the first day of each calendar quarter during a plan year, with each</w:t>
      </w:r>
    </w:p>
    <w:p>
      <w:pPr>
        <w:spacing w:after="0" w:line="14" w:lineRule="exact"/>
        <w:rPr>
          <w:sz w:val="20"/>
          <w:szCs w:val="20"/>
          <w:color w:val="auto"/>
        </w:rPr>
      </w:pPr>
    </w:p>
    <w:p>
      <w:pPr>
        <w:ind w:left="640" w:right="260"/>
        <w:spacing w:after="0" w:line="226" w:lineRule="auto"/>
        <w:rPr>
          <w:sz w:val="20"/>
          <w:szCs w:val="20"/>
          <w:color w:val="auto"/>
        </w:rPr>
      </w:pPr>
      <w:r>
        <w:rPr>
          <w:rFonts w:ascii="Arial" w:cs="Arial" w:eastAsia="Arial" w:hAnsi="Arial"/>
          <w:sz w:val="18"/>
          <w:szCs w:val="18"/>
          <w:color w:val="202124"/>
        </w:rPr>
        <w:t>eligible AutoZoner’s option for a given quarter covering the number of shares of AutoZone common stock calculated by dividing such AutoZoner’s aggregate payroll deductions by the purchase price, as more fully described below, up to a</w:t>
      </w:r>
    </w:p>
    <w:p>
      <w:pPr>
        <w:ind w:left="640"/>
        <w:spacing w:after="0" w:line="236" w:lineRule="auto"/>
        <w:rPr>
          <w:sz w:val="20"/>
          <w:szCs w:val="20"/>
          <w:color w:val="auto"/>
        </w:rPr>
      </w:pPr>
      <w:r>
        <w:rPr>
          <w:rFonts w:ascii="Arial" w:cs="Arial" w:eastAsia="Arial" w:hAnsi="Arial"/>
          <w:sz w:val="18"/>
          <w:szCs w:val="18"/>
          <w:color w:val="202124"/>
        </w:rPr>
        <w:t>maximum quarterly amount of 1,000 shares of AutoZone common stock. Each such option will automatically be exercised</w:t>
      </w:r>
    </w:p>
    <w:p>
      <w:pPr>
        <w:spacing w:after="0" w:line="1" w:lineRule="exact"/>
        <w:rPr>
          <w:sz w:val="20"/>
          <w:szCs w:val="20"/>
          <w:color w:val="auto"/>
        </w:rPr>
      </w:pPr>
    </w:p>
    <w:p>
      <w:pPr>
        <w:ind w:left="640" w:right="60"/>
        <w:spacing w:after="0" w:line="226" w:lineRule="auto"/>
        <w:rPr>
          <w:sz w:val="20"/>
          <w:szCs w:val="20"/>
          <w:color w:val="auto"/>
        </w:rPr>
      </w:pPr>
      <w:r>
        <w:rPr>
          <w:rFonts w:ascii="Arial" w:cs="Arial" w:eastAsia="Arial" w:hAnsi="Arial"/>
          <w:sz w:val="18"/>
          <w:szCs w:val="18"/>
          <w:color w:val="202124"/>
        </w:rPr>
        <w:t>on the last day of the quarter. In the event of a merger or similar corporate transaction, the date of exercise will instead be the effective date of such transaction unless options outstanding under the ESPP are assumed or substituted for by a</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successor entity.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Purchase Price</w:t>
      </w:r>
    </w:p>
    <w:p>
      <w:pPr>
        <w:spacing w:after="0" w:line="156" w:lineRule="exact"/>
        <w:rPr>
          <w:sz w:val="20"/>
          <w:szCs w:val="20"/>
          <w:color w:val="auto"/>
        </w:rPr>
      </w:pPr>
    </w:p>
    <w:p>
      <w:pPr>
        <w:jc w:val="both"/>
        <w:ind w:left="640" w:firstLine="441"/>
        <w:spacing w:after="0" w:line="253" w:lineRule="auto"/>
        <w:rPr>
          <w:sz w:val="20"/>
          <w:szCs w:val="20"/>
          <w:color w:val="auto"/>
        </w:rPr>
      </w:pPr>
      <w:r>
        <w:rPr>
          <w:rFonts w:ascii="Arial" w:cs="Arial" w:eastAsia="Arial" w:hAnsi="Arial"/>
          <w:sz w:val="18"/>
          <w:szCs w:val="18"/>
          <w:color w:val="202124"/>
        </w:rPr>
        <w:t>The purchase price for shares acquired under the ESPP is equal to 85% of the fair market value of the shares on the last day of each calendar quarter, or if less, 85% of the fair market value on the first day of the calendar quarter. This 15% discount relative to fair market value is a key benefit of the ESPP for participating AutoZoners.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Share Delivery; Restriction on Sale of Acquired Shares</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Shares of AutoZone common stock acquired under the ESPP generally will be delivered to a participant promptly</w:t>
      </w:r>
    </w:p>
    <w:p>
      <w:pPr>
        <w:spacing w:after="0" w:line="14" w:lineRule="exact"/>
        <w:rPr>
          <w:sz w:val="20"/>
          <w:szCs w:val="20"/>
          <w:color w:val="auto"/>
        </w:rPr>
      </w:pPr>
    </w:p>
    <w:p>
      <w:pPr>
        <w:ind w:left="640" w:right="40"/>
        <w:spacing w:after="0"/>
        <w:rPr>
          <w:sz w:val="20"/>
          <w:szCs w:val="20"/>
          <w:color w:val="auto"/>
        </w:rPr>
      </w:pPr>
      <w:r>
        <w:rPr>
          <w:rFonts w:ascii="Arial" w:cs="Arial" w:eastAsia="Arial" w:hAnsi="Arial"/>
          <w:sz w:val="17"/>
          <w:szCs w:val="17"/>
          <w:color w:val="202124"/>
        </w:rPr>
        <w:t>following the exercise date of the option with respect to such shares. However, a participant may not sell any shares acquired under the ESPP until the earlier of the first anniversary of the option exercise date with respect to such shares 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the termination of the participant’s employment with the Company.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Shares Subject to the ESPP</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The amended and restated ESPP authorizes the issuance of up to 100,000 shares of AutoZone common stock. This</w:t>
      </w:r>
    </w:p>
    <w:p>
      <w:pPr>
        <w:spacing w:after="0" w:line="14" w:lineRule="exact"/>
        <w:rPr>
          <w:sz w:val="20"/>
          <w:szCs w:val="20"/>
          <w:color w:val="auto"/>
        </w:rPr>
      </w:pPr>
    </w:p>
    <w:p>
      <w:pPr>
        <w:ind w:left="640" w:right="240"/>
        <w:spacing w:after="0"/>
        <w:rPr>
          <w:sz w:val="20"/>
          <w:szCs w:val="20"/>
          <w:color w:val="auto"/>
        </w:rPr>
      </w:pPr>
      <w:r>
        <w:rPr>
          <w:rFonts w:ascii="Arial" w:cs="Arial" w:eastAsia="Arial" w:hAnsi="Arial"/>
          <w:sz w:val="17"/>
          <w:szCs w:val="17"/>
          <w:color w:val="202124"/>
        </w:rPr>
        <w:t>represents a decrease from the prior share reserve, and all 100,000 shares of AutoZone common stock reserved under the amended and restated ESPP are shares that remain reserved and unissued under the prior version of the ESPP.</w:t>
      </w:r>
    </w:p>
    <w:p>
      <w:pPr>
        <w:spacing w:after="0" w:line="1" w:lineRule="exact"/>
        <w:rPr>
          <w:sz w:val="20"/>
          <w:szCs w:val="20"/>
          <w:color w:val="auto"/>
        </w:rPr>
      </w:pPr>
    </w:p>
    <w:p>
      <w:pPr>
        <w:ind w:left="640" w:right="780" w:firstLine="50"/>
        <w:spacing w:after="0" w:line="427" w:lineRule="auto"/>
        <w:rPr>
          <w:sz w:val="20"/>
          <w:szCs w:val="20"/>
          <w:color w:val="auto"/>
        </w:rPr>
      </w:pPr>
      <w:r>
        <w:rPr>
          <w:rFonts w:ascii="Arial" w:cs="Arial" w:eastAsia="Arial" w:hAnsi="Arial"/>
          <w:sz w:val="18"/>
          <w:szCs w:val="18"/>
          <w:b w:val="1"/>
          <w:bCs w:val="1"/>
          <w:color w:val="202124"/>
        </w:rPr>
        <w:t xml:space="preserve">Because of this, AutoZone is NOT seeking any additional shares under the amended and restated ESPP. </w:t>
      </w:r>
      <w:r>
        <w:rPr>
          <w:rFonts w:ascii="Arial" w:cs="Arial" w:eastAsia="Arial" w:hAnsi="Arial"/>
          <w:sz w:val="18"/>
          <w:szCs w:val="18"/>
          <w:b w:val="1"/>
          <w:bCs w:val="1"/>
          <w:i w:val="1"/>
          <w:iCs w:val="1"/>
          <w:color w:val="202124"/>
        </w:rPr>
        <w:t>Termination of Employment</w:t>
      </w:r>
    </w:p>
    <w:p>
      <w:pPr>
        <w:spacing w:after="0" w:line="1" w:lineRule="exact"/>
        <w:rPr>
          <w:sz w:val="20"/>
          <w:szCs w:val="20"/>
          <w:color w:val="auto"/>
        </w:rPr>
      </w:pPr>
    </w:p>
    <w:p>
      <w:pPr>
        <w:ind w:left="640" w:right="200" w:firstLine="441"/>
        <w:spacing w:after="0" w:line="245" w:lineRule="auto"/>
        <w:rPr>
          <w:sz w:val="20"/>
          <w:szCs w:val="20"/>
          <w:color w:val="auto"/>
        </w:rPr>
      </w:pPr>
      <w:r>
        <w:rPr>
          <w:rFonts w:ascii="Arial" w:cs="Arial" w:eastAsia="Arial" w:hAnsi="Arial"/>
          <w:sz w:val="18"/>
          <w:szCs w:val="18"/>
          <w:color w:val="202124"/>
        </w:rPr>
        <w:t>If a participant experiences a termination of employment during an option period other than by retirement or death, then the participant’s participation in the ESPP shall automatically terminate as of the date of the termination of</w:t>
      </w:r>
    </w:p>
    <w:p>
      <w:pPr>
        <w:ind w:left="640"/>
        <w:spacing w:after="0"/>
        <w:rPr>
          <w:sz w:val="20"/>
          <w:szCs w:val="20"/>
          <w:color w:val="auto"/>
        </w:rPr>
      </w:pPr>
      <w:r>
        <w:rPr>
          <w:rFonts w:ascii="Arial" w:cs="Arial" w:eastAsia="Arial" w:hAnsi="Arial"/>
          <w:sz w:val="17"/>
          <w:szCs w:val="17"/>
          <w:color w:val="202124"/>
        </w:rPr>
        <w:t>employment. As soon as practicable after such a participant’s termination of employment, the Company will refund the amount of the balance in that account under the ESPP. A participant whose employment is terminated by retirement or the</w:t>
      </w:r>
    </w:p>
    <w:p>
      <w:pPr>
        <w:ind w:left="640"/>
        <w:spacing w:after="0" w:line="235" w:lineRule="auto"/>
        <w:rPr>
          <w:sz w:val="20"/>
          <w:szCs w:val="20"/>
          <w:color w:val="auto"/>
        </w:rPr>
      </w:pPr>
      <w:r>
        <w:rPr>
          <w:rFonts w:ascii="Arial" w:cs="Arial" w:eastAsia="Arial" w:hAnsi="Arial"/>
          <w:sz w:val="18"/>
          <w:szCs w:val="18"/>
          <w:color w:val="202124"/>
        </w:rPr>
        <w:t>AutoZoner’s death may have the balance in such participant’s account refunded upon the request of the AutoZoner or his</w:t>
      </w:r>
    </w:p>
    <w:p>
      <w:pPr>
        <w:ind w:left="640" w:right="160"/>
        <w:spacing w:after="0" w:line="237" w:lineRule="auto"/>
        <w:rPr>
          <w:sz w:val="20"/>
          <w:szCs w:val="20"/>
          <w:color w:val="auto"/>
        </w:rPr>
      </w:pPr>
      <w:r>
        <w:rPr>
          <w:rFonts w:ascii="Arial" w:cs="Arial" w:eastAsia="Arial" w:hAnsi="Arial"/>
          <w:sz w:val="18"/>
          <w:szCs w:val="18"/>
          <w:color w:val="202124"/>
        </w:rPr>
        <w:t>or her estate, as applicable, or, if the Company does not receive such notice before the end of the quarter, the option will be deemed exercised on the next exercise date.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Certain Tax Consequences</w:t>
      </w:r>
    </w:p>
    <w:p>
      <w:pPr>
        <w:spacing w:after="0" w:line="169" w:lineRule="exact"/>
        <w:rPr>
          <w:sz w:val="20"/>
          <w:szCs w:val="20"/>
          <w:color w:val="auto"/>
        </w:rPr>
      </w:pPr>
    </w:p>
    <w:p>
      <w:pPr>
        <w:ind w:left="640" w:firstLine="441"/>
        <w:spacing w:after="0" w:line="237" w:lineRule="auto"/>
        <w:rPr>
          <w:sz w:val="20"/>
          <w:szCs w:val="20"/>
          <w:color w:val="auto"/>
        </w:rPr>
      </w:pPr>
      <w:r>
        <w:rPr>
          <w:rFonts w:ascii="Arial" w:cs="Arial" w:eastAsia="Arial" w:hAnsi="Arial"/>
          <w:sz w:val="18"/>
          <w:szCs w:val="18"/>
          <w:color w:val="202124"/>
        </w:rPr>
        <w:t>Because the ESPP is intended to qualify under Section 423 of the Code, participants are eligible to receive favorable tax treatment with respect to sales of shares acquired under the ESPP, subject to the satisfaction of certain conditions. No</w:t>
      </w:r>
    </w:p>
    <w:p>
      <w:pPr>
        <w:ind w:left="640"/>
        <w:spacing w:after="0" w:line="235" w:lineRule="auto"/>
        <w:rPr>
          <w:sz w:val="20"/>
          <w:szCs w:val="20"/>
          <w:color w:val="auto"/>
        </w:rPr>
      </w:pPr>
      <w:r>
        <w:rPr>
          <w:rFonts w:ascii="Arial" w:cs="Arial" w:eastAsia="Arial" w:hAnsi="Arial"/>
          <w:sz w:val="18"/>
          <w:szCs w:val="18"/>
          <w:color w:val="202124"/>
        </w:rPr>
        <w:t>taxable income is recognized by a participant at the time of purchase. If shares are held for at least two years from the</w:t>
      </w:r>
    </w:p>
    <w:p>
      <w:pPr>
        <w:spacing w:after="0" w:line="1" w:lineRule="exact"/>
        <w:rPr>
          <w:sz w:val="20"/>
          <w:szCs w:val="20"/>
          <w:color w:val="auto"/>
        </w:rPr>
      </w:pPr>
    </w:p>
    <w:p>
      <w:pPr>
        <w:ind w:left="640" w:right="140"/>
        <w:spacing w:after="0"/>
        <w:rPr>
          <w:sz w:val="20"/>
          <w:szCs w:val="20"/>
          <w:color w:val="auto"/>
        </w:rPr>
      </w:pPr>
      <w:r>
        <w:rPr>
          <w:rFonts w:ascii="Arial" w:cs="Arial" w:eastAsia="Arial" w:hAnsi="Arial"/>
          <w:sz w:val="17"/>
          <w:szCs w:val="17"/>
          <w:color w:val="202124"/>
        </w:rPr>
        <w:t>beginning of the offering period and one year from the date of purchase, any gain upon sale is taxed as long-term capital gain, except that the amount of the purchase discount (up to 15%) is taxed as ordinary income. If shares are disposed of</w:t>
      </w:r>
    </w:p>
    <w:p>
      <w:pPr>
        <w:spacing w:after="0" w:line="1" w:lineRule="exact"/>
        <w:rPr>
          <w:sz w:val="20"/>
          <w:szCs w:val="20"/>
          <w:color w:val="auto"/>
        </w:rPr>
      </w:pPr>
    </w:p>
    <w:p>
      <w:pPr>
        <w:ind w:left="640" w:right="220"/>
        <w:spacing w:after="0" w:line="250" w:lineRule="auto"/>
        <w:rPr>
          <w:sz w:val="20"/>
          <w:szCs w:val="20"/>
          <w:color w:val="auto"/>
        </w:rPr>
      </w:pPr>
      <w:r>
        <w:rPr>
          <w:rFonts w:ascii="Arial" w:cs="Arial" w:eastAsia="Arial" w:hAnsi="Arial"/>
          <w:sz w:val="18"/>
          <w:szCs w:val="18"/>
          <w:color w:val="202124"/>
        </w:rPr>
        <w:t>before satisfying these holding periods (a “disqualifying disposition”), the difference between the fair market value at the time of purchase and the purchase price is taxed as ordinary income.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Amendment; Termination</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The ESPP may be amended or terminated by the Compensation Committee at any time, except that approval of</w:t>
      </w:r>
    </w:p>
    <w:p>
      <w:pPr>
        <w:spacing w:after="0" w:line="14" w:lineRule="exact"/>
        <w:rPr>
          <w:sz w:val="20"/>
          <w:szCs w:val="20"/>
          <w:color w:val="auto"/>
        </w:rPr>
      </w:pPr>
    </w:p>
    <w:p>
      <w:pPr>
        <w:ind w:left="640" w:right="80"/>
        <w:spacing w:after="0" w:line="226" w:lineRule="auto"/>
        <w:rPr>
          <w:sz w:val="20"/>
          <w:szCs w:val="20"/>
          <w:color w:val="auto"/>
        </w:rPr>
      </w:pPr>
      <w:r>
        <w:rPr>
          <w:rFonts w:ascii="Arial" w:cs="Arial" w:eastAsia="Arial" w:hAnsi="Arial"/>
          <w:sz w:val="18"/>
          <w:szCs w:val="18"/>
          <w:color w:val="202124"/>
        </w:rPr>
        <w:t>AutoZone’s stockholders will be required (i) to increase the number of shares of AutoZone common stock available under the ESPP, (ii) to decrease the purchase price below a price computed in the manner stated in the ESPP, (iii) to materially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202124"/>
        </w:rPr>
        <w:t>alter the requirements for eligibility to participate in the ESPP, or (iv) to modify the ESPP in a manner requiring stockholder</w:t>
      </w:r>
    </w:p>
    <w:p>
      <w:pPr>
        <w:spacing w:after="0" w:line="7" w:lineRule="exact"/>
        <w:rPr>
          <w:sz w:val="20"/>
          <w:szCs w:val="20"/>
          <w:color w:val="auto"/>
        </w:rPr>
      </w:pPr>
    </w:p>
    <w:p>
      <w:pPr>
        <w:ind w:left="640" w:right="340"/>
        <w:spacing w:after="0" w:line="237" w:lineRule="auto"/>
        <w:rPr>
          <w:sz w:val="20"/>
          <w:szCs w:val="20"/>
          <w:color w:val="auto"/>
        </w:rPr>
      </w:pPr>
      <w:r>
        <w:rPr>
          <w:rFonts w:ascii="Arial" w:cs="Arial" w:eastAsia="Arial" w:hAnsi="Arial"/>
          <w:sz w:val="18"/>
          <w:szCs w:val="18"/>
          <w:color w:val="202124"/>
        </w:rPr>
        <w:t>approval under the Internal Revenue Code or the Securities Exchange Act. The ESPP will terminate on December 31, 2036.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35</w:t>
            </w:r>
          </w:p>
        </w:tc>
      </w:tr>
    </w:tbl>
    <w:p>
      <w:pPr>
        <w:sectPr>
          <w:pgSz w:w="11900" w:h="16838" w:orient="portrait"/>
          <w:cols w:equalWidth="0" w:num="1">
            <w:col w:w="10360"/>
          </w:cols>
          <w:pgMar w:left="440" w:top="106" w:right="1099" w:bottom="1440" w:gutter="0" w:footer="0" w:header="0"/>
        </w:sectPr>
      </w:pPr>
    </w:p>
    <w:bookmarkStart w:id="38" w:name="page39"/>
    <w:bookmarkEnd w:id="3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20"/>
        <w:spacing w:after="0" w:line="244" w:lineRule="auto"/>
        <w:rPr>
          <w:sz w:val="20"/>
          <w:szCs w:val="20"/>
          <w:color w:val="auto"/>
        </w:rPr>
      </w:pPr>
      <w:r>
        <w:rPr>
          <w:rFonts w:ascii="Arial" w:cs="Arial" w:eastAsia="Arial" w:hAnsi="Arial"/>
          <w:sz w:val="18"/>
          <w:szCs w:val="18"/>
          <w:b w:val="1"/>
          <w:bCs w:val="1"/>
          <w:color w:val="202124"/>
        </w:rPr>
        <w:t xml:space="preserve">VOTES REQUIRED. </w:t>
      </w:r>
      <w:r>
        <w:rPr>
          <w:rFonts w:ascii="Arial" w:cs="Arial" w:eastAsia="Arial" w:hAnsi="Arial"/>
          <w:sz w:val="18"/>
          <w:szCs w:val="18"/>
          <w:color w:val="202124"/>
        </w:rPr>
        <w:t>In accordance with New York Stock Exchange listing requirements and Section 423 of the Code,</w:t>
      </w:r>
      <w:r>
        <w:rPr>
          <w:rFonts w:ascii="Arial" w:cs="Arial" w:eastAsia="Arial" w:hAnsi="Arial"/>
          <w:sz w:val="18"/>
          <w:szCs w:val="18"/>
          <w:b w:val="1"/>
          <w:bCs w:val="1"/>
          <w:color w:val="202124"/>
        </w:rPr>
        <w:t xml:space="preserve"> </w:t>
      </w:r>
      <w:r>
        <w:rPr>
          <w:rFonts w:ascii="Arial" w:cs="Arial" w:eastAsia="Arial" w:hAnsi="Arial"/>
          <w:sz w:val="18"/>
          <w:szCs w:val="18"/>
          <w:color w:val="202124"/>
        </w:rPr>
        <w:t>adoption of the amended and restated ESPP requires approval by a majority of votes cast on such proposal, provided that the total vote cast on the proposal represents over 50% of the outstanding shares of AutoZone common stock entitled to vote on the proposal. Abstentions will have the effect of a vote against this proposal. Broker non-votes will not affect the outcome of this proposal.</w:t>
      </w:r>
    </w:p>
    <w:p>
      <w:pPr>
        <w:spacing w:after="0" w:line="136"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b w:val="1"/>
          <w:bCs w:val="1"/>
          <w:color w:val="202124"/>
        </w:rPr>
        <w:t xml:space="preserve">BOARD RECOMMENDATION. </w:t>
      </w:r>
      <w:r>
        <w:rPr>
          <w:rFonts w:ascii="Arial" w:cs="Arial" w:eastAsia="Arial" w:hAnsi="Arial"/>
          <w:sz w:val="18"/>
          <w:szCs w:val="18"/>
          <w:color w:val="202124"/>
        </w:rPr>
        <w:t>The Board of Directors believes the ESPP provides a valuable benefit both to AutoZoners</w:t>
      </w:r>
      <w:r>
        <w:rPr>
          <w:rFonts w:ascii="Arial" w:cs="Arial" w:eastAsia="Arial" w:hAnsi="Arial"/>
          <w:sz w:val="18"/>
          <w:szCs w:val="18"/>
          <w:b w:val="1"/>
          <w:bCs w:val="1"/>
          <w:color w:val="202124"/>
        </w:rPr>
        <w:t xml:space="preserve"> </w:t>
      </w:r>
      <w:r>
        <w:rPr>
          <w:rFonts w:ascii="Arial" w:cs="Arial" w:eastAsia="Arial" w:hAnsi="Arial"/>
          <w:sz w:val="18"/>
          <w:szCs w:val="18"/>
          <w:color w:val="202124"/>
        </w:rPr>
        <w:t>and to the Company, by helping our AutoZoners provide for their future security through investment in AutoZone while also providing AutoZone with a valuable recruitment and retention tool in a competitive marketplace for talent. Accordingly, we urge stockholders to vote FOR the ratification and adoption of the AutoZone, Inc. Ninth Amended and Restated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240" w:right="1440"/>
        <w:spacing w:after="0" w:line="253" w:lineRule="auto"/>
        <w:rPr>
          <w:sz w:val="20"/>
          <w:szCs w:val="20"/>
          <w:color w:val="auto"/>
        </w:rPr>
      </w:pPr>
      <w:r>
        <w:rPr>
          <w:rFonts w:ascii="Arial" w:cs="Arial" w:eastAsia="Arial" w:hAnsi="Arial"/>
          <w:sz w:val="18"/>
          <w:szCs w:val="18"/>
          <w:color w:val="202124"/>
        </w:rPr>
        <w:t xml:space="preserve">The Board recommends that stockholders vote </w:t>
      </w:r>
      <w:r>
        <w:rPr>
          <w:rFonts w:ascii="Arial" w:cs="Arial" w:eastAsia="Arial" w:hAnsi="Arial"/>
          <w:sz w:val="18"/>
          <w:szCs w:val="18"/>
          <w:b w:val="1"/>
          <w:bCs w:val="1"/>
          <w:color w:val="F37F00"/>
        </w:rPr>
        <w:t>FOR</w:t>
      </w:r>
      <w:r>
        <w:rPr>
          <w:rFonts w:ascii="Arial" w:cs="Arial" w:eastAsia="Arial" w:hAnsi="Arial"/>
          <w:sz w:val="18"/>
          <w:szCs w:val="18"/>
          <w:color w:val="202124"/>
        </w:rPr>
        <w:t xml:space="preserve"> ratification and adoption of the AutoZone, Inc. Ninth Amended and Restated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36   </w:t>
      </w:r>
      <w:r>
        <w:rPr>
          <w:sz w:val="1"/>
          <w:szCs w:val="1"/>
          <w:color w:val="auto"/>
        </w:rPr>
        <w:drawing>
          <wp:inline distT="0" distB="0" distL="0" distR="0">
            <wp:extent cx="116586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39" w:name="page40"/>
    <w:bookmarkEnd w:id="3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right="460"/>
        <w:spacing w:after="0" w:line="229" w:lineRule="auto"/>
        <w:rPr>
          <w:sz w:val="20"/>
          <w:szCs w:val="20"/>
          <w:color w:val="auto"/>
        </w:rPr>
      </w:pPr>
      <w:r>
        <w:rPr>
          <w:rFonts w:ascii="Arial" w:cs="Arial" w:eastAsia="Arial" w:hAnsi="Arial"/>
          <w:sz w:val="43"/>
          <w:szCs w:val="43"/>
          <w:color w:val="F37F00"/>
        </w:rPr>
        <w:t xml:space="preserve">PROPOSAL 5: </w:t>
      </w:r>
      <w:r>
        <w:rPr>
          <w:rFonts w:ascii="Arial" w:cs="Arial" w:eastAsia="Arial" w:hAnsi="Arial"/>
          <w:sz w:val="43"/>
          <w:szCs w:val="43"/>
          <w:b w:val="1"/>
          <w:bCs w:val="1"/>
          <w:color w:val="F37F00"/>
        </w:rPr>
        <w:t>Approval of the AutoZone, Inc.</w:t>
      </w:r>
      <w:r>
        <w:rPr>
          <w:rFonts w:ascii="Arial" w:cs="Arial" w:eastAsia="Arial" w:hAnsi="Arial"/>
          <w:sz w:val="43"/>
          <w:szCs w:val="43"/>
          <w:color w:val="F37F00"/>
        </w:rPr>
        <w:t xml:space="preserve"> </w:t>
      </w:r>
      <w:r>
        <w:rPr>
          <w:rFonts w:ascii="Arial" w:cs="Arial" w:eastAsia="Arial" w:hAnsi="Arial"/>
          <w:sz w:val="43"/>
          <w:szCs w:val="43"/>
          <w:b w:val="1"/>
          <w:bCs w:val="1"/>
          <w:color w:val="F37F00"/>
        </w:rPr>
        <w:t>Seventh Amended and Restated Executive Stock Purchase Plan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DESCRIPTION OF PROPOSAL.</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General</w:t>
      </w:r>
    </w:p>
    <w:p>
      <w:pPr>
        <w:spacing w:after="0" w:line="169" w:lineRule="exact"/>
        <w:rPr>
          <w:sz w:val="20"/>
          <w:szCs w:val="20"/>
          <w:color w:val="auto"/>
        </w:rPr>
      </w:pPr>
    </w:p>
    <w:p>
      <w:pPr>
        <w:ind w:left="640" w:right="60" w:firstLine="441"/>
        <w:spacing w:after="0" w:line="237" w:lineRule="auto"/>
        <w:rPr>
          <w:sz w:val="20"/>
          <w:szCs w:val="20"/>
          <w:color w:val="auto"/>
        </w:rPr>
      </w:pPr>
      <w:r>
        <w:rPr>
          <w:rFonts w:ascii="Arial" w:cs="Arial" w:eastAsia="Arial" w:hAnsi="Arial"/>
          <w:sz w:val="18"/>
          <w:szCs w:val="18"/>
          <w:color w:val="202124"/>
        </w:rPr>
        <w:t xml:space="preserve">The following is a summary of the AutoZone, Inc. Seventh Amended and Restated Executive Stock Purchase Plan (the “Executive Plan”). The Executive Plan was previously approved by AutoZone’s stockholders in 2001 with respect to grants covering 300,000 shares of AutoZone common stock. On September 21, 2016, the Compensation Committee adopted a further Amendment and Restatement of the Executive Plan, which was subsequently approved by the stockholders of the Company, to extend the term of the Executive Plan through January 1, 2026. The Board’s Compensation Committee has amended and restated the Executive Plan. Subject to stockholder approval, the Executive Plan will become effective January 1, 2027, with a term of ten years, expiring on December 31, 2036. The amended and restated Executive Plan will become effective if and when the amended and restated Executive Plan is approved by the affirmative vote of the holders of the majority of the shares of AutoZone common stock present, or represented by proxy, and entitled to vote thereon at our Annual Meeting of Stockholders. </w:t>
      </w:r>
      <w:r>
        <w:rPr>
          <w:rFonts w:ascii="Arial" w:cs="Arial" w:eastAsia="Arial" w:hAnsi="Arial"/>
          <w:sz w:val="18"/>
          <w:szCs w:val="18"/>
          <w:b w:val="1"/>
          <w:bCs w:val="1"/>
          <w:u w:val="single" w:color="auto"/>
          <w:color w:val="202124"/>
        </w:rPr>
        <w:t>AutoZone is seeking approval to award up to</w:t>
      </w:r>
      <w:r>
        <w:rPr>
          <w:rFonts w:ascii="Arial" w:cs="Arial" w:eastAsia="Arial" w:hAnsi="Arial"/>
          <w:sz w:val="18"/>
          <w:szCs w:val="18"/>
          <w:color w:val="202124"/>
        </w:rPr>
        <w:t xml:space="preserve"> </w:t>
      </w:r>
      <w:r>
        <w:rPr>
          <w:rFonts w:ascii="Arial" w:cs="Arial" w:eastAsia="Arial" w:hAnsi="Arial"/>
          <w:sz w:val="18"/>
          <w:szCs w:val="18"/>
          <w:b w:val="1"/>
          <w:bCs w:val="1"/>
          <w:u w:val="single" w:color="auto"/>
          <w:color w:val="202124"/>
        </w:rPr>
        <w:t>25,000 shares of AutoZone common stock under the Executive Plan, which represents a considerable reduction in the share reserve from the previous version of the Executive Plan</w:t>
      </w:r>
      <w:r>
        <w:rPr>
          <w:rFonts w:ascii="Arial" w:cs="Arial" w:eastAsia="Arial" w:hAnsi="Arial"/>
          <w:sz w:val="18"/>
          <w:szCs w:val="18"/>
          <w:color w:val="202124"/>
        </w:rPr>
        <w:t>. The following summary is qualified in its</w:t>
      </w:r>
      <w:r>
        <w:rPr>
          <w:rFonts w:ascii="Arial" w:cs="Arial" w:eastAsia="Arial" w:hAnsi="Arial"/>
          <w:sz w:val="18"/>
          <w:szCs w:val="18"/>
          <w:b w:val="1"/>
          <w:bCs w:val="1"/>
          <w:color w:val="202124"/>
        </w:rPr>
        <w:t xml:space="preserve"> </w:t>
      </w:r>
      <w:r>
        <w:rPr>
          <w:rFonts w:ascii="Arial" w:cs="Arial" w:eastAsia="Arial" w:hAnsi="Arial"/>
          <w:sz w:val="18"/>
          <w:szCs w:val="18"/>
          <w:color w:val="202124"/>
        </w:rPr>
        <w:t>entirety by reference to the amended and restated Executive Plan document, which is reproduced in its entirety as Exhibit B to this Proxy Statement.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Key Changes from Prior Version of Executive Plan</w:t>
      </w:r>
    </w:p>
    <w:p>
      <w:pPr>
        <w:spacing w:after="0" w:line="169" w:lineRule="exact"/>
        <w:rPr>
          <w:sz w:val="20"/>
          <w:szCs w:val="20"/>
          <w:color w:val="auto"/>
        </w:rPr>
      </w:pPr>
    </w:p>
    <w:p>
      <w:pPr>
        <w:ind w:left="1320" w:hanging="325"/>
        <w:spacing w:after="0"/>
        <w:tabs>
          <w:tab w:leader="none" w:pos="1320" w:val="left"/>
        </w:tabs>
        <w:numPr>
          <w:ilvl w:val="0"/>
          <w:numId w:val="64"/>
        </w:numPr>
        <w:rPr>
          <w:rFonts w:ascii="Times New Roman" w:cs="Times New Roman" w:eastAsia="Times New Roman" w:hAnsi="Times New Roman"/>
          <w:sz w:val="18"/>
          <w:szCs w:val="18"/>
          <w:color w:val="F37F00"/>
        </w:rPr>
      </w:pPr>
      <w:r>
        <w:rPr>
          <w:rFonts w:ascii="Arial" w:cs="Arial" w:eastAsia="Arial" w:hAnsi="Arial"/>
          <w:sz w:val="18"/>
          <w:szCs w:val="18"/>
          <w:color w:val="202124"/>
        </w:rPr>
        <w:t>Revise definition of Disability to align with the 2020 Omnibus Incentive Plan.</w:t>
      </w:r>
    </w:p>
    <w:p>
      <w:pPr>
        <w:spacing w:after="0" w:line="183"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64"/>
        </w:numPr>
        <w:rPr>
          <w:rFonts w:ascii="Times New Roman" w:cs="Times New Roman" w:eastAsia="Times New Roman" w:hAnsi="Times New Roman"/>
          <w:sz w:val="18"/>
          <w:szCs w:val="18"/>
          <w:color w:val="F37F00"/>
        </w:rPr>
      </w:pPr>
      <w:r>
        <w:rPr>
          <w:rFonts w:ascii="Arial" w:cs="Arial" w:eastAsia="Arial" w:hAnsi="Arial"/>
          <w:sz w:val="18"/>
          <w:szCs w:val="18"/>
          <w:color w:val="202124"/>
        </w:rPr>
        <w:t>Reduced shares reserved for issuance under the Executive plan from 300,000 shares to 25,000 shares.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Purpose of the Executive Plan; Relationship to the ESPP</w:t>
      </w:r>
    </w:p>
    <w:p>
      <w:pPr>
        <w:spacing w:after="0" w:line="169" w:lineRule="exact"/>
        <w:rPr>
          <w:sz w:val="20"/>
          <w:szCs w:val="20"/>
          <w:color w:val="auto"/>
        </w:rPr>
      </w:pPr>
    </w:p>
    <w:p>
      <w:pPr>
        <w:ind w:left="640" w:right="60"/>
        <w:spacing w:after="0" w:line="237" w:lineRule="auto"/>
        <w:rPr>
          <w:sz w:val="20"/>
          <w:szCs w:val="20"/>
          <w:color w:val="auto"/>
        </w:rPr>
      </w:pPr>
      <w:r>
        <w:rPr>
          <w:rFonts w:ascii="Arial" w:cs="Arial" w:eastAsia="Arial" w:hAnsi="Arial"/>
          <w:sz w:val="18"/>
          <w:szCs w:val="18"/>
          <w:color w:val="202124"/>
        </w:rPr>
        <w:t>The Executive Plan will permit its participants to acquire shares of AutoZone common stock in excess of the purchase limits contained in the ESPP. Under the ESPP, AutoZoners may authorize AutoZone to withhold portions of their eligible salary and bonus to purchase shares of AutoZone common stock at a price equal to 85% of the fair market value of shares of AutoZone common stock at the lesser of the fair market value at the beginning or the ending of each applicable calendar quarter. Under the ESPP, participants may only authorize AutoZone to withhold up to 20% of their Eligible Compensation, as defined in the ESPP, each pay period and only $20,000 of their Eligible Compensation, as defined in the ESPP, each year. The ESPP, unlike the Executive Plan, is qualified for special tax treatment under Section 423 of the Code, which provides that no taxes are assessed on the purchased shares or the discount for the purchase of the shares until the shares are sold, subject to certain holding period requirements. Because the Executive Plan is not required to comply with the requirements of Section 423 of the Code, unlike the ESPP, the Executive Plan (i) will have a limit on the amount of a participant’s regular payroll and bonus payments that may be used to purchase shares of AutoZone common stock under the Executive Plan each calendar year equal to 25% of the participant’s Eligible Compensation, (ii) will place no percentage limit on the amount of a participant’s regular payroll or bonus payments that may be used each pay period to purchase shares of AutoZone common stock under the Executive Plan, and (iii) will base option exercise prices on the market value of shares of AutoZone common stock as of the last day of each applicable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37</w:t>
            </w:r>
          </w:p>
        </w:tc>
      </w:tr>
    </w:tbl>
    <w:p>
      <w:pPr>
        <w:sectPr>
          <w:pgSz w:w="11900" w:h="16838" w:orient="portrait"/>
          <w:cols w:equalWidth="0" w:num="1">
            <w:col w:w="10360"/>
          </w:cols>
          <w:pgMar w:left="440" w:top="106" w:right="1099" w:bottom="1440" w:gutter="0" w:footer="0" w:header="0"/>
        </w:sectPr>
      </w:pPr>
    </w:p>
    <w:bookmarkStart w:id="40" w:name="page41"/>
    <w:bookmarkEnd w:id="4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Eligibility</w:t>
      </w:r>
    </w:p>
    <w:p>
      <w:pPr>
        <w:spacing w:after="0" w:line="156" w:lineRule="exact"/>
        <w:rPr>
          <w:sz w:val="20"/>
          <w:szCs w:val="20"/>
          <w:color w:val="auto"/>
        </w:rPr>
      </w:pPr>
    </w:p>
    <w:p>
      <w:pPr>
        <w:ind w:left="640" w:right="420" w:firstLine="441"/>
        <w:spacing w:after="0" w:line="271" w:lineRule="auto"/>
        <w:rPr>
          <w:sz w:val="20"/>
          <w:szCs w:val="20"/>
          <w:color w:val="auto"/>
        </w:rPr>
      </w:pPr>
      <w:r>
        <w:rPr>
          <w:rFonts w:ascii="Arial" w:cs="Arial" w:eastAsia="Arial" w:hAnsi="Arial"/>
          <w:sz w:val="18"/>
          <w:szCs w:val="18"/>
          <w:color w:val="202124"/>
        </w:rPr>
        <w:t>Eligibility to participate in the Executive Plan will be any U.S based officer of the Company, which includes Vice-Presidents and above.</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Participation and Contributions</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Eligible AutoZoners may elect to participate in the Executive Plan by making an election, before the beginning of</w:t>
      </w:r>
    </w:p>
    <w:p>
      <w:pPr>
        <w:spacing w:after="0" w:line="14" w:lineRule="exact"/>
        <w:rPr>
          <w:sz w:val="20"/>
          <w:szCs w:val="20"/>
          <w:color w:val="auto"/>
        </w:rPr>
      </w:pPr>
    </w:p>
    <w:p>
      <w:pPr>
        <w:ind w:left="640" w:right="140"/>
        <w:spacing w:after="0"/>
        <w:rPr>
          <w:sz w:val="20"/>
          <w:szCs w:val="20"/>
          <w:color w:val="auto"/>
        </w:rPr>
      </w:pPr>
      <w:r>
        <w:rPr>
          <w:rFonts w:ascii="Arial" w:cs="Arial" w:eastAsia="Arial" w:hAnsi="Arial"/>
          <w:sz w:val="17"/>
          <w:szCs w:val="17"/>
          <w:color w:val="202124"/>
        </w:rPr>
        <w:t>each option period (January 1, April 1, July 1, October 1 (or by such earlier administrative deadline as the Company may impose)), to use a portion of their regular payroll or bonus payments to purchase shares of AutoZone common stock</w:t>
      </w:r>
    </w:p>
    <w:p>
      <w:pPr>
        <w:ind w:left="640"/>
        <w:spacing w:after="0" w:line="235" w:lineRule="auto"/>
        <w:rPr>
          <w:sz w:val="20"/>
          <w:szCs w:val="20"/>
          <w:color w:val="auto"/>
        </w:rPr>
      </w:pPr>
      <w:r>
        <w:rPr>
          <w:rFonts w:ascii="Arial" w:cs="Arial" w:eastAsia="Arial" w:hAnsi="Arial"/>
          <w:sz w:val="18"/>
          <w:szCs w:val="18"/>
          <w:color w:val="202124"/>
        </w:rPr>
        <w:t>pursuant to options granted under the Executive Plan. As noted above, the maximum cumulative amount that may be</w:t>
      </w:r>
    </w:p>
    <w:p>
      <w:pPr>
        <w:ind w:left="640" w:right="180"/>
        <w:spacing w:after="0"/>
        <w:rPr>
          <w:sz w:val="20"/>
          <w:szCs w:val="20"/>
          <w:color w:val="auto"/>
        </w:rPr>
      </w:pPr>
      <w:r>
        <w:rPr>
          <w:rFonts w:ascii="Arial" w:cs="Arial" w:eastAsia="Arial" w:hAnsi="Arial"/>
          <w:sz w:val="17"/>
          <w:szCs w:val="17"/>
          <w:color w:val="202124"/>
        </w:rPr>
        <w:t>withheld by a participant under the Executive Plan during any year may not exceed 25% of such AutoZoner’s Eligible Compensation (as defined in the Executive Plan). Payroll deductions are accumulated during each calendar quarter and</w:t>
      </w:r>
    </w:p>
    <w:p>
      <w:pPr>
        <w:ind w:left="640"/>
        <w:spacing w:after="0" w:line="235" w:lineRule="auto"/>
        <w:rPr>
          <w:sz w:val="20"/>
          <w:szCs w:val="20"/>
          <w:color w:val="auto"/>
        </w:rPr>
      </w:pPr>
      <w:r>
        <w:rPr>
          <w:rFonts w:ascii="Arial" w:cs="Arial" w:eastAsia="Arial" w:hAnsi="Arial"/>
          <w:sz w:val="18"/>
          <w:szCs w:val="18"/>
          <w:color w:val="202124"/>
        </w:rPr>
        <w:t>used to purchase shares of AutoZone common stock at the end of the quarter. Because participation in the Executive</w:t>
      </w:r>
    </w:p>
    <w:p>
      <w:pPr>
        <w:ind w:left="640" w:right="520"/>
        <w:spacing w:after="0" w:line="226" w:lineRule="auto"/>
        <w:rPr>
          <w:sz w:val="20"/>
          <w:szCs w:val="20"/>
          <w:color w:val="auto"/>
        </w:rPr>
      </w:pPr>
      <w:r>
        <w:rPr>
          <w:rFonts w:ascii="Arial" w:cs="Arial" w:eastAsia="Arial" w:hAnsi="Arial"/>
          <w:sz w:val="18"/>
          <w:szCs w:val="18"/>
          <w:color w:val="202124"/>
        </w:rPr>
        <w:t>Plan is voluntary and the purchase price of shares under the Executive Plan is based on future stock prices, it is not possible to quantify with specificity the benefits that will be received by participants. As of the date of this Proxy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Statement, approximately 61 of our AutoZoners are eligible to participate in the Executive Plan.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Option Grants</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Options will be granted under the Executive Plan each calendar quarter during a plan year and will consist of two</w:t>
      </w:r>
    </w:p>
    <w:p>
      <w:pPr>
        <w:spacing w:after="0" w:line="14" w:lineRule="exact"/>
        <w:rPr>
          <w:sz w:val="20"/>
          <w:szCs w:val="20"/>
          <w:color w:val="auto"/>
        </w:rPr>
      </w:pPr>
    </w:p>
    <w:p>
      <w:pPr>
        <w:ind w:left="640" w:right="140"/>
        <w:spacing w:after="0" w:line="226" w:lineRule="auto"/>
        <w:rPr>
          <w:sz w:val="20"/>
          <w:szCs w:val="20"/>
          <w:color w:val="auto"/>
        </w:rPr>
      </w:pPr>
      <w:r>
        <w:rPr>
          <w:rFonts w:ascii="Arial" w:cs="Arial" w:eastAsia="Arial" w:hAnsi="Arial"/>
          <w:sz w:val="18"/>
          <w:szCs w:val="18"/>
          <w:color w:val="202124"/>
        </w:rPr>
        <w:t>parts: a restricted option and an unvested option. Both the restricted option and the unvested option will automatically be exercised together at the end of each calendar quarter based on the compensation that a participant has previously</w:t>
      </w:r>
    </w:p>
    <w:p>
      <w:pPr>
        <w:ind w:left="640"/>
        <w:spacing w:after="0" w:line="236" w:lineRule="auto"/>
        <w:rPr>
          <w:sz w:val="20"/>
          <w:szCs w:val="20"/>
          <w:color w:val="auto"/>
        </w:rPr>
      </w:pPr>
      <w:r>
        <w:rPr>
          <w:rFonts w:ascii="Arial" w:cs="Arial" w:eastAsia="Arial" w:hAnsi="Arial"/>
          <w:sz w:val="18"/>
          <w:szCs w:val="18"/>
          <w:color w:val="202124"/>
        </w:rPr>
        <w:t>elected to contribute for such period. In the event of a merger or similar corporate transaction, the date of exercise will</w:t>
      </w:r>
    </w:p>
    <w:p>
      <w:pPr>
        <w:spacing w:after="0" w:line="1" w:lineRule="exact"/>
        <w:rPr>
          <w:sz w:val="20"/>
          <w:szCs w:val="20"/>
          <w:color w:val="auto"/>
        </w:rPr>
      </w:pPr>
    </w:p>
    <w:p>
      <w:pPr>
        <w:ind w:left="640" w:right="380"/>
        <w:spacing w:after="0" w:line="237" w:lineRule="auto"/>
        <w:rPr>
          <w:sz w:val="20"/>
          <w:szCs w:val="20"/>
          <w:color w:val="auto"/>
        </w:rPr>
      </w:pPr>
      <w:r>
        <w:rPr>
          <w:rFonts w:ascii="Arial" w:cs="Arial" w:eastAsia="Arial" w:hAnsi="Arial"/>
          <w:sz w:val="18"/>
          <w:szCs w:val="18"/>
          <w:color w:val="202124"/>
        </w:rPr>
        <w:t>instead be the effective date of such transaction unless options outstanding under the Executive Plan are assumed or substituted for by a successor entity.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Purchase Price</w:t>
      </w:r>
    </w:p>
    <w:p>
      <w:pPr>
        <w:spacing w:after="0" w:line="169" w:lineRule="exact"/>
        <w:rPr>
          <w:sz w:val="20"/>
          <w:szCs w:val="20"/>
          <w:color w:val="auto"/>
        </w:rPr>
      </w:pPr>
    </w:p>
    <w:p>
      <w:pPr>
        <w:ind w:left="640" w:right="100" w:firstLine="441"/>
        <w:spacing w:after="0" w:line="237" w:lineRule="auto"/>
        <w:rPr>
          <w:sz w:val="20"/>
          <w:szCs w:val="20"/>
          <w:color w:val="auto"/>
        </w:rPr>
      </w:pPr>
      <w:r>
        <w:rPr>
          <w:rFonts w:ascii="Arial" w:cs="Arial" w:eastAsia="Arial" w:hAnsi="Arial"/>
          <w:sz w:val="18"/>
          <w:szCs w:val="18"/>
          <w:color w:val="202124"/>
        </w:rPr>
        <w:t>The per share exercise price of the restricted option will equal 100% of the fair market value of a share of AutoZone common stock on the date of exercise, and the exercise price of the unvested option will equal zero. The shares of</w:t>
      </w:r>
    </w:p>
    <w:p>
      <w:pPr>
        <w:ind w:left="640"/>
        <w:spacing w:after="0" w:line="235" w:lineRule="auto"/>
        <w:rPr>
          <w:sz w:val="20"/>
          <w:szCs w:val="20"/>
          <w:color w:val="auto"/>
        </w:rPr>
      </w:pPr>
      <w:r>
        <w:rPr>
          <w:rFonts w:ascii="Arial" w:cs="Arial" w:eastAsia="Arial" w:hAnsi="Arial"/>
          <w:sz w:val="18"/>
          <w:szCs w:val="18"/>
          <w:color w:val="202124"/>
        </w:rPr>
        <w:t>AutoZone common stock subject to the restricted option and the unvested option will be granted in such proportion that,</w:t>
      </w:r>
    </w:p>
    <w:p>
      <w:pPr>
        <w:spacing w:after="0" w:line="1" w:lineRule="exact"/>
        <w:rPr>
          <w:sz w:val="20"/>
          <w:szCs w:val="20"/>
          <w:color w:val="auto"/>
        </w:rPr>
      </w:pPr>
    </w:p>
    <w:p>
      <w:pPr>
        <w:ind w:left="640" w:right="440"/>
        <w:spacing w:after="0"/>
        <w:rPr>
          <w:sz w:val="20"/>
          <w:szCs w:val="20"/>
          <w:color w:val="auto"/>
        </w:rPr>
      </w:pPr>
      <w:r>
        <w:rPr>
          <w:rFonts w:ascii="Arial" w:cs="Arial" w:eastAsia="Arial" w:hAnsi="Arial"/>
          <w:sz w:val="17"/>
          <w:szCs w:val="17"/>
          <w:color w:val="202124"/>
        </w:rPr>
        <w:t>when taken together, the aggregate per share exercise price of shares of AutoZone common stock subject to the two options will equal approximately 85% of the fair market value of a share of AutoZone common stock on the date of</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exercise.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Share Delivery; Forfeiture</w:t>
      </w:r>
    </w:p>
    <w:p>
      <w:pPr>
        <w:spacing w:after="0" w:line="156" w:lineRule="exact"/>
        <w:rPr>
          <w:sz w:val="20"/>
          <w:szCs w:val="20"/>
          <w:color w:val="auto"/>
        </w:rPr>
      </w:pPr>
    </w:p>
    <w:p>
      <w:pPr>
        <w:ind w:left="640" w:right="20"/>
        <w:spacing w:after="0" w:line="259" w:lineRule="auto"/>
        <w:rPr>
          <w:sz w:val="20"/>
          <w:szCs w:val="20"/>
          <w:color w:val="auto"/>
        </w:rPr>
      </w:pPr>
      <w:r>
        <w:rPr>
          <w:rFonts w:ascii="Arial" w:cs="Arial" w:eastAsia="Arial" w:hAnsi="Arial"/>
          <w:sz w:val="17"/>
          <w:szCs w:val="17"/>
          <w:color w:val="202124"/>
        </w:rPr>
        <w:t>Shares of AutoZone common stock acquired under the Executive Plan generally will not be delivered to a participant until the first anniversary of the applicable exercise date. Except as provided below, shares of AutoZone common stock subject</w:t>
      </w:r>
    </w:p>
    <w:p>
      <w:pPr>
        <w:spacing w:after="0" w:line="1" w:lineRule="exact"/>
        <w:rPr>
          <w:sz w:val="20"/>
          <w:szCs w:val="20"/>
          <w:color w:val="auto"/>
        </w:rPr>
      </w:pPr>
    </w:p>
    <w:p>
      <w:pPr>
        <w:ind w:left="640" w:right="80"/>
        <w:spacing w:after="0"/>
        <w:rPr>
          <w:sz w:val="20"/>
          <w:szCs w:val="20"/>
          <w:color w:val="auto"/>
        </w:rPr>
      </w:pPr>
      <w:r>
        <w:rPr>
          <w:rFonts w:ascii="Arial" w:cs="Arial" w:eastAsia="Arial" w:hAnsi="Arial"/>
          <w:sz w:val="17"/>
          <w:szCs w:val="17"/>
          <w:color w:val="202124"/>
        </w:rPr>
        <w:t>to the restricted option (representing approximately 85% of the value of shares of AutoZone common stock subject to any quarterly option grant under the Executive Plan) will remain non-transferable by a participant prior to the first anniversary</w:t>
      </w:r>
    </w:p>
    <w:p>
      <w:pPr>
        <w:ind w:left="640"/>
        <w:spacing w:after="0" w:line="235" w:lineRule="auto"/>
        <w:rPr>
          <w:sz w:val="20"/>
          <w:szCs w:val="20"/>
          <w:color w:val="auto"/>
        </w:rPr>
      </w:pPr>
      <w:r>
        <w:rPr>
          <w:rFonts w:ascii="Arial" w:cs="Arial" w:eastAsia="Arial" w:hAnsi="Arial"/>
          <w:sz w:val="18"/>
          <w:szCs w:val="18"/>
          <w:color w:val="202124"/>
        </w:rPr>
        <w:t>of the applicable exercise date and shares of AutoZone common stock subject to the unvested option (representing</w:t>
      </w:r>
    </w:p>
    <w:p>
      <w:pPr>
        <w:ind w:left="640" w:right="20"/>
        <w:spacing w:after="0"/>
        <w:rPr>
          <w:sz w:val="20"/>
          <w:szCs w:val="20"/>
          <w:color w:val="auto"/>
        </w:rPr>
      </w:pPr>
      <w:r>
        <w:rPr>
          <w:rFonts w:ascii="Arial" w:cs="Arial" w:eastAsia="Arial" w:hAnsi="Arial"/>
          <w:sz w:val="17"/>
          <w:szCs w:val="17"/>
          <w:color w:val="202124"/>
        </w:rPr>
        <w:t>approximately 15% of the value of shares of AutoZone common stock subject to a quarterly option grant under the Executive Plan) will be forfeitable by a participant if the participant’s employment is terminated prior to the first anniversary</w:t>
      </w:r>
    </w:p>
    <w:p>
      <w:pPr>
        <w:ind w:left="640"/>
        <w:spacing w:after="0" w:line="235" w:lineRule="auto"/>
        <w:rPr>
          <w:sz w:val="20"/>
          <w:szCs w:val="20"/>
          <w:color w:val="auto"/>
        </w:rPr>
      </w:pPr>
      <w:r>
        <w:rPr>
          <w:rFonts w:ascii="Arial" w:cs="Arial" w:eastAsia="Arial" w:hAnsi="Arial"/>
          <w:sz w:val="18"/>
          <w:szCs w:val="18"/>
          <w:color w:val="202124"/>
        </w:rPr>
        <w:t>of the applicable exercise date. Notwithstanding the foregoing, shares of AutoZone common stock subject to unvested</w:t>
      </w:r>
    </w:p>
    <w:p>
      <w:pPr>
        <w:ind w:left="640" w:right="200"/>
        <w:spacing w:after="0"/>
        <w:rPr>
          <w:sz w:val="20"/>
          <w:szCs w:val="20"/>
          <w:color w:val="auto"/>
        </w:rPr>
      </w:pPr>
      <w:r>
        <w:rPr>
          <w:rFonts w:ascii="Arial" w:cs="Arial" w:eastAsia="Arial" w:hAnsi="Arial"/>
          <w:sz w:val="17"/>
          <w:szCs w:val="17"/>
          <w:color w:val="202124"/>
        </w:rPr>
        <w:t>options will vest immediately, and shares of AutoZone common stock subject to both unvested options and restricted options will be delivered as soon as practicable following a participant’s termination of employment by AutoZone without</w:t>
      </w:r>
    </w:p>
    <w:p>
      <w:pPr>
        <w:spacing w:after="0" w:line="1" w:lineRule="exact"/>
        <w:rPr>
          <w:sz w:val="20"/>
          <w:szCs w:val="20"/>
          <w:color w:val="auto"/>
        </w:rPr>
      </w:pPr>
    </w:p>
    <w:p>
      <w:pPr>
        <w:ind w:left="640" w:right="820"/>
        <w:spacing w:after="0" w:line="427" w:lineRule="auto"/>
        <w:rPr>
          <w:sz w:val="20"/>
          <w:szCs w:val="20"/>
          <w:color w:val="auto"/>
        </w:rPr>
      </w:pPr>
      <w:r>
        <w:rPr>
          <w:rFonts w:ascii="Arial" w:cs="Arial" w:eastAsia="Arial" w:hAnsi="Arial"/>
          <w:sz w:val="18"/>
          <w:szCs w:val="18"/>
          <w:color w:val="202124"/>
        </w:rPr>
        <w:t xml:space="preserve">cause or due to the participant’s death or disability, in any case prior to the first anniversary of the exercise date. </w:t>
      </w:r>
      <w:r>
        <w:rPr>
          <w:rFonts w:ascii="Arial" w:cs="Arial" w:eastAsia="Arial" w:hAnsi="Arial"/>
          <w:sz w:val="18"/>
          <w:szCs w:val="18"/>
          <w:b w:val="1"/>
          <w:bCs w:val="1"/>
          <w:i w:val="1"/>
          <w:iCs w:val="1"/>
          <w:color w:val="202124"/>
        </w:rPr>
        <w:t>Shares Subject to the Executive Plan</w:t>
      </w:r>
    </w:p>
    <w:p>
      <w:pPr>
        <w:spacing w:after="0" w:line="1" w:lineRule="exact"/>
        <w:rPr>
          <w:sz w:val="20"/>
          <w:szCs w:val="20"/>
          <w:color w:val="auto"/>
        </w:rPr>
      </w:pPr>
    </w:p>
    <w:p>
      <w:pPr>
        <w:ind w:left="640" w:right="180" w:firstLine="441"/>
        <w:spacing w:after="0" w:line="259" w:lineRule="auto"/>
        <w:rPr>
          <w:sz w:val="20"/>
          <w:szCs w:val="20"/>
          <w:color w:val="auto"/>
        </w:rPr>
      </w:pPr>
      <w:r>
        <w:rPr>
          <w:rFonts w:ascii="Arial" w:cs="Arial" w:eastAsia="Arial" w:hAnsi="Arial"/>
          <w:sz w:val="17"/>
          <w:szCs w:val="17"/>
          <w:color w:val="202124"/>
        </w:rPr>
        <w:t>The Executive Plan authorizes the issuance of up to 25,000 shares of AutoZone common stock, subject to stockholder approval. This represents a considerable decrease from the prior share reserve and is less than the number</w:t>
      </w:r>
    </w:p>
    <w:p>
      <w:pPr>
        <w:spacing w:after="0" w:line="1" w:lineRule="exact"/>
        <w:rPr>
          <w:sz w:val="20"/>
          <w:szCs w:val="20"/>
          <w:color w:val="auto"/>
        </w:rPr>
      </w:pPr>
    </w:p>
    <w:p>
      <w:pPr>
        <w:ind w:left="640" w:right="500"/>
        <w:spacing w:after="0" w:line="244" w:lineRule="auto"/>
        <w:rPr>
          <w:sz w:val="20"/>
          <w:szCs w:val="20"/>
          <w:color w:val="auto"/>
        </w:rPr>
      </w:pPr>
      <w:r>
        <w:rPr>
          <w:rFonts w:ascii="Arial" w:cs="Arial" w:eastAsia="Arial" w:hAnsi="Arial"/>
          <w:sz w:val="18"/>
          <w:szCs w:val="18"/>
          <w:color w:val="202124"/>
        </w:rPr>
        <w:t xml:space="preserve">of shares that remained reserved but unissued under the prior version of the Executive Plan. </w:t>
      </w:r>
      <w:r>
        <w:rPr>
          <w:rFonts w:ascii="Arial" w:cs="Arial" w:eastAsia="Arial" w:hAnsi="Arial"/>
          <w:sz w:val="18"/>
          <w:szCs w:val="18"/>
          <w:b w:val="1"/>
          <w:bCs w:val="1"/>
          <w:u w:val="single" w:color="auto"/>
          <w:color w:val="202124"/>
        </w:rPr>
        <w:t>AutoZone is seeking</w:t>
      </w:r>
      <w:r>
        <w:rPr>
          <w:rFonts w:ascii="Arial" w:cs="Arial" w:eastAsia="Arial" w:hAnsi="Arial"/>
          <w:sz w:val="18"/>
          <w:szCs w:val="18"/>
          <w:color w:val="202124"/>
        </w:rPr>
        <w:t xml:space="preserve"> </w:t>
      </w:r>
      <w:r>
        <w:rPr>
          <w:rFonts w:ascii="Arial" w:cs="Arial" w:eastAsia="Arial" w:hAnsi="Arial"/>
          <w:sz w:val="18"/>
          <w:szCs w:val="18"/>
          <w:b w:val="1"/>
          <w:bCs w:val="1"/>
          <w:u w:val="single" w:color="auto"/>
          <w:color w:val="202124"/>
        </w:rPr>
        <w:t>approval to award up to 25,000 shares of AutoZone common stock under the Executive Plan</w:t>
      </w:r>
      <w:r>
        <w:rPr>
          <w:rFonts w:ascii="Arial" w:cs="Arial" w:eastAsia="Arial" w:hAnsi="Arial"/>
          <w:sz w:val="18"/>
          <w:szCs w:val="18"/>
          <w:b w:val="1"/>
          <w:bCs w:val="1"/>
          <w:color w:val="20212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38   </w:t>
      </w:r>
      <w:r>
        <w:rPr>
          <w:sz w:val="1"/>
          <w:szCs w:val="1"/>
          <w:color w:val="auto"/>
        </w:rPr>
        <w:drawing>
          <wp:inline distT="0" distB="0" distL="0" distR="0">
            <wp:extent cx="116586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41" w:name="page42"/>
    <w:bookmarkEnd w:id="4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Termination of Employment</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202124"/>
        </w:rPr>
        <w:t>If a participant experiences a termination of employment during an option period, then the participant’s participation</w:t>
      </w:r>
    </w:p>
    <w:p>
      <w:pPr>
        <w:spacing w:after="0" w:line="14" w:lineRule="exact"/>
        <w:rPr>
          <w:sz w:val="20"/>
          <w:szCs w:val="20"/>
          <w:color w:val="auto"/>
        </w:rPr>
      </w:pPr>
    </w:p>
    <w:p>
      <w:pPr>
        <w:ind w:left="640" w:right="320"/>
        <w:spacing w:after="0" w:line="226" w:lineRule="auto"/>
        <w:rPr>
          <w:sz w:val="20"/>
          <w:szCs w:val="20"/>
          <w:color w:val="auto"/>
        </w:rPr>
      </w:pPr>
      <w:r>
        <w:rPr>
          <w:rFonts w:ascii="Arial" w:cs="Arial" w:eastAsia="Arial" w:hAnsi="Arial"/>
          <w:sz w:val="18"/>
          <w:szCs w:val="18"/>
          <w:color w:val="202124"/>
        </w:rPr>
        <w:t>in the Executive Plan shall automatically terminate as of the date of the termination of employment. As soon as practicable after such a participant’s termination of employment, the Company will refund the amount of the balance in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that account under the Executive Plan.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Certain Tax Consequences</w:t>
      </w:r>
    </w:p>
    <w:p>
      <w:pPr>
        <w:spacing w:after="0" w:line="156" w:lineRule="exact"/>
        <w:rPr>
          <w:sz w:val="20"/>
          <w:szCs w:val="20"/>
          <w:color w:val="auto"/>
        </w:rPr>
      </w:pPr>
    </w:p>
    <w:p>
      <w:pPr>
        <w:ind w:left="640" w:right="60" w:firstLine="441"/>
        <w:spacing w:after="0" w:line="245" w:lineRule="auto"/>
        <w:rPr>
          <w:sz w:val="20"/>
          <w:szCs w:val="20"/>
          <w:color w:val="auto"/>
        </w:rPr>
      </w:pPr>
      <w:r>
        <w:rPr>
          <w:rFonts w:ascii="Arial" w:cs="Arial" w:eastAsia="Arial" w:hAnsi="Arial"/>
          <w:sz w:val="18"/>
          <w:szCs w:val="18"/>
          <w:color w:val="202124"/>
        </w:rPr>
        <w:t>Participants’ contributions to the Executive Plan are made with after-tax dollars. Participants will have a tax basis in shares of AutoZone common stock acquired pursuant to any restricted option equal to the exercise price of the applicable</w:t>
      </w:r>
    </w:p>
    <w:p>
      <w:pPr>
        <w:ind w:left="640" w:right="100"/>
        <w:spacing w:after="0" w:line="226" w:lineRule="auto"/>
        <w:rPr>
          <w:sz w:val="20"/>
          <w:szCs w:val="20"/>
          <w:color w:val="auto"/>
        </w:rPr>
      </w:pPr>
      <w:r>
        <w:rPr>
          <w:rFonts w:ascii="Arial" w:cs="Arial" w:eastAsia="Arial" w:hAnsi="Arial"/>
          <w:sz w:val="18"/>
          <w:szCs w:val="18"/>
          <w:color w:val="202124"/>
        </w:rPr>
        <w:t>option. Any gain or loss on a subsequent disposition of shares of AutoZone common stock acquired pursuant to a restricted option will be taxed to the participant as capital gain or loss. With respect to shares of AutoZone common stock</w:t>
      </w:r>
    </w:p>
    <w:p>
      <w:pPr>
        <w:ind w:left="640"/>
        <w:spacing w:after="0" w:line="236" w:lineRule="auto"/>
        <w:rPr>
          <w:sz w:val="20"/>
          <w:szCs w:val="20"/>
          <w:color w:val="auto"/>
        </w:rPr>
      </w:pPr>
      <w:r>
        <w:rPr>
          <w:rFonts w:ascii="Arial" w:cs="Arial" w:eastAsia="Arial" w:hAnsi="Arial"/>
          <w:sz w:val="18"/>
          <w:szCs w:val="18"/>
          <w:color w:val="202124"/>
        </w:rPr>
        <w:t>acquired pursuant to an unvested option, the fair market value of such shares at the time that the shares vest and are no</w:t>
      </w:r>
    </w:p>
    <w:p>
      <w:pPr>
        <w:spacing w:after="0" w:line="1" w:lineRule="exact"/>
        <w:rPr>
          <w:sz w:val="20"/>
          <w:szCs w:val="20"/>
          <w:color w:val="auto"/>
        </w:rPr>
      </w:pPr>
    </w:p>
    <w:p>
      <w:pPr>
        <w:ind w:left="640" w:right="40"/>
        <w:spacing w:after="0"/>
        <w:rPr>
          <w:sz w:val="20"/>
          <w:szCs w:val="20"/>
          <w:color w:val="auto"/>
        </w:rPr>
      </w:pPr>
      <w:r>
        <w:rPr>
          <w:rFonts w:ascii="Arial" w:cs="Arial" w:eastAsia="Arial" w:hAnsi="Arial"/>
          <w:sz w:val="17"/>
          <w:szCs w:val="17"/>
          <w:color w:val="202124"/>
        </w:rPr>
        <w:t>longer subject to forfeiture generally will be taxable to participants at ordinary income rates and subject to income and employment tax withholding by AutoZone. Thereafter, any appreciation or loss in value of such shares will be taxable as a</w:t>
      </w:r>
    </w:p>
    <w:p>
      <w:pPr>
        <w:ind w:left="640"/>
        <w:spacing w:after="0" w:line="235" w:lineRule="auto"/>
        <w:rPr>
          <w:sz w:val="20"/>
          <w:szCs w:val="20"/>
          <w:color w:val="auto"/>
        </w:rPr>
      </w:pPr>
      <w:r>
        <w:rPr>
          <w:rFonts w:ascii="Arial" w:cs="Arial" w:eastAsia="Arial" w:hAnsi="Arial"/>
          <w:sz w:val="18"/>
          <w:szCs w:val="18"/>
          <w:color w:val="202124"/>
        </w:rPr>
        <w:t>capital gain or loss when the shares are sold. However, if a participant makes an election under section 83(b) of the Code</w:t>
      </w:r>
    </w:p>
    <w:p>
      <w:pPr>
        <w:ind w:left="640" w:right="100"/>
        <w:spacing w:after="0"/>
        <w:rPr>
          <w:sz w:val="20"/>
          <w:szCs w:val="20"/>
          <w:color w:val="auto"/>
        </w:rPr>
      </w:pPr>
      <w:r>
        <w:rPr>
          <w:rFonts w:ascii="Arial" w:cs="Arial" w:eastAsia="Arial" w:hAnsi="Arial"/>
          <w:sz w:val="17"/>
          <w:szCs w:val="17"/>
          <w:color w:val="202124"/>
        </w:rPr>
        <w:t>within thirty days after the acquisition of any shares pursuant to an unvested option, the fair market value of such shares as of the date the shares are acquired will be taxable to the participant at ordinary income rates. Thereafter, any increase</w:t>
      </w:r>
    </w:p>
    <w:p>
      <w:pPr>
        <w:spacing w:after="0" w:line="1" w:lineRule="exact"/>
        <w:rPr>
          <w:sz w:val="20"/>
          <w:szCs w:val="20"/>
          <w:color w:val="auto"/>
        </w:rPr>
      </w:pPr>
    </w:p>
    <w:p>
      <w:pPr>
        <w:ind w:left="640" w:right="20"/>
        <w:spacing w:after="0"/>
        <w:rPr>
          <w:sz w:val="20"/>
          <w:szCs w:val="20"/>
          <w:color w:val="auto"/>
        </w:rPr>
      </w:pPr>
      <w:r>
        <w:rPr>
          <w:rFonts w:ascii="Arial" w:cs="Arial" w:eastAsia="Arial" w:hAnsi="Arial"/>
          <w:sz w:val="17"/>
          <w:szCs w:val="17"/>
          <w:color w:val="202124"/>
        </w:rPr>
        <w:t>or decrease in value of such shares will be taxable to the participant as a capital gain or loss upon the disposition of the shares. AutoZone will become eligible for a tax deduction only to the extent and at the time that any participant recognizes</w:t>
      </w:r>
    </w:p>
    <w:p>
      <w:pPr>
        <w:spacing w:after="0" w:line="1" w:lineRule="exact"/>
        <w:rPr>
          <w:sz w:val="20"/>
          <w:szCs w:val="20"/>
          <w:color w:val="auto"/>
        </w:rPr>
      </w:pPr>
    </w:p>
    <w:p>
      <w:pPr>
        <w:ind w:left="640" w:right="960"/>
        <w:spacing w:after="0" w:line="427" w:lineRule="auto"/>
        <w:rPr>
          <w:sz w:val="20"/>
          <w:szCs w:val="20"/>
          <w:color w:val="auto"/>
        </w:rPr>
      </w:pPr>
      <w:r>
        <w:rPr>
          <w:rFonts w:ascii="Arial" w:cs="Arial" w:eastAsia="Arial" w:hAnsi="Arial"/>
          <w:sz w:val="18"/>
          <w:szCs w:val="18"/>
          <w:color w:val="202124"/>
        </w:rPr>
        <w:t xml:space="preserve">ordinary income in respect of any shares of AutoZone common stock acquired pursuant to the Executive Plan. </w:t>
      </w:r>
      <w:r>
        <w:rPr>
          <w:rFonts w:ascii="Arial" w:cs="Arial" w:eastAsia="Arial" w:hAnsi="Arial"/>
          <w:sz w:val="18"/>
          <w:szCs w:val="18"/>
          <w:b w:val="1"/>
          <w:bCs w:val="1"/>
          <w:i w:val="1"/>
          <w:iCs w:val="1"/>
          <w:color w:val="202124"/>
        </w:rPr>
        <w:t>Administration; Amendment; Termination</w:t>
      </w:r>
    </w:p>
    <w:p>
      <w:pPr>
        <w:spacing w:after="0" w:line="1" w:lineRule="exact"/>
        <w:rPr>
          <w:sz w:val="20"/>
          <w:szCs w:val="20"/>
          <w:color w:val="auto"/>
        </w:rPr>
      </w:pPr>
    </w:p>
    <w:p>
      <w:pPr>
        <w:ind w:left="640" w:right="560" w:firstLine="441"/>
        <w:spacing w:after="0" w:line="245" w:lineRule="auto"/>
        <w:rPr>
          <w:sz w:val="20"/>
          <w:szCs w:val="20"/>
          <w:color w:val="auto"/>
        </w:rPr>
      </w:pPr>
      <w:r>
        <w:rPr>
          <w:rFonts w:ascii="Arial" w:cs="Arial" w:eastAsia="Arial" w:hAnsi="Arial"/>
          <w:sz w:val="18"/>
          <w:szCs w:val="18"/>
          <w:color w:val="202124"/>
        </w:rPr>
        <w:t>The Compensation Committee will act as administrator of the Executive Plan, with authority to interpret and establish rules under the Executive Plan. The Executive Plan may be amended or terminated by the Compensation</w:t>
      </w:r>
    </w:p>
    <w:p>
      <w:pPr>
        <w:ind w:left="640" w:right="280"/>
        <w:spacing w:after="0" w:line="226" w:lineRule="auto"/>
        <w:rPr>
          <w:sz w:val="20"/>
          <w:szCs w:val="20"/>
          <w:color w:val="auto"/>
        </w:rPr>
      </w:pPr>
      <w:r>
        <w:rPr>
          <w:rFonts w:ascii="Arial" w:cs="Arial" w:eastAsia="Arial" w:hAnsi="Arial"/>
          <w:sz w:val="18"/>
          <w:szCs w:val="18"/>
          <w:color w:val="202124"/>
        </w:rPr>
        <w:t>Committee at any time, except that approval of the stockholders will be required (i) to increase the number of shares of AutoZone common stock available under the Executive Plan, (ii) to sell shares of AutoZone common stock under the</w:t>
      </w:r>
    </w:p>
    <w:p>
      <w:pPr>
        <w:ind w:left="640"/>
        <w:spacing w:after="0" w:line="236" w:lineRule="auto"/>
        <w:rPr>
          <w:sz w:val="20"/>
          <w:szCs w:val="20"/>
          <w:color w:val="auto"/>
        </w:rPr>
      </w:pPr>
      <w:r>
        <w:rPr>
          <w:rFonts w:ascii="Arial" w:cs="Arial" w:eastAsia="Arial" w:hAnsi="Arial"/>
          <w:sz w:val="18"/>
          <w:szCs w:val="18"/>
          <w:color w:val="202124"/>
        </w:rPr>
        <w:t>Executive Plan for less than the price as currently computed under the Executive Plan’s option price provisions, (iii) to</w:t>
      </w:r>
    </w:p>
    <w:p>
      <w:pPr>
        <w:spacing w:after="0" w:line="1" w:lineRule="exact"/>
        <w:rPr>
          <w:sz w:val="20"/>
          <w:szCs w:val="20"/>
          <w:color w:val="auto"/>
        </w:rPr>
      </w:pPr>
    </w:p>
    <w:p>
      <w:pPr>
        <w:ind w:left="640" w:right="80"/>
        <w:spacing w:after="0"/>
        <w:rPr>
          <w:sz w:val="20"/>
          <w:szCs w:val="20"/>
          <w:color w:val="auto"/>
        </w:rPr>
      </w:pPr>
      <w:r>
        <w:rPr>
          <w:rFonts w:ascii="Arial" w:cs="Arial" w:eastAsia="Arial" w:hAnsi="Arial"/>
          <w:sz w:val="17"/>
          <w:szCs w:val="17"/>
          <w:color w:val="202124"/>
        </w:rPr>
        <w:t>materially modify the eligibility requirements for participation in the Executive Plan or the types of awards available under the Executive Plan, or (iv) to make any other modification that would require stockholder approval under applicable law 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stock exchange rules. The Executive Plan will terminate at the end of December 31, 2036.</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VOTES REQUIRED</w:t>
      </w:r>
      <w:r>
        <w:rPr>
          <w:rFonts w:ascii="Arial" w:cs="Arial" w:eastAsia="Arial" w:hAnsi="Arial"/>
          <w:sz w:val="18"/>
          <w:szCs w:val="18"/>
          <w:color w:val="202124"/>
        </w:rPr>
        <w:t>. In accordance with New York Stock Exchange listing requirements, adoption of the Executive Plan</w:t>
      </w:r>
    </w:p>
    <w:p>
      <w:pPr>
        <w:spacing w:after="0" w:line="14" w:lineRule="exact"/>
        <w:rPr>
          <w:sz w:val="20"/>
          <w:szCs w:val="20"/>
          <w:color w:val="auto"/>
        </w:rPr>
      </w:pPr>
    </w:p>
    <w:p>
      <w:pPr>
        <w:ind w:left="640" w:right="200"/>
        <w:spacing w:after="0"/>
        <w:rPr>
          <w:sz w:val="20"/>
          <w:szCs w:val="20"/>
          <w:color w:val="auto"/>
        </w:rPr>
      </w:pPr>
      <w:r>
        <w:rPr>
          <w:rFonts w:ascii="Arial" w:cs="Arial" w:eastAsia="Arial" w:hAnsi="Arial"/>
          <w:sz w:val="17"/>
          <w:szCs w:val="17"/>
          <w:color w:val="202124"/>
        </w:rPr>
        <w:t>requires approval by a majority of votes cast on such proposal, provided that the total vote cast on the proposal represents over 50% of the outstanding shares of AutoZone common stock entitled to vote on the proposal. Abstentions</w:t>
      </w:r>
    </w:p>
    <w:p>
      <w:pPr>
        <w:spacing w:after="0" w:line="1" w:lineRule="exact"/>
        <w:rPr>
          <w:sz w:val="20"/>
          <w:szCs w:val="20"/>
          <w:color w:val="auto"/>
        </w:rPr>
      </w:pPr>
    </w:p>
    <w:p>
      <w:pPr>
        <w:ind w:left="640" w:right="300"/>
        <w:spacing w:after="0" w:line="356" w:lineRule="auto"/>
        <w:rPr>
          <w:sz w:val="20"/>
          <w:szCs w:val="20"/>
          <w:color w:val="auto"/>
        </w:rPr>
      </w:pPr>
      <w:r>
        <w:rPr>
          <w:rFonts w:ascii="Arial" w:cs="Arial" w:eastAsia="Arial" w:hAnsi="Arial"/>
          <w:sz w:val="17"/>
          <w:szCs w:val="17"/>
          <w:color w:val="202124"/>
        </w:rPr>
        <w:t xml:space="preserve">will have the effect of a vote against this proposal. Broker non-votes will not affect the outcome of this proposal. </w:t>
      </w:r>
      <w:r>
        <w:rPr>
          <w:rFonts w:ascii="Arial" w:cs="Arial" w:eastAsia="Arial" w:hAnsi="Arial"/>
          <w:sz w:val="17"/>
          <w:szCs w:val="17"/>
          <w:b w:val="1"/>
          <w:bCs w:val="1"/>
          <w:color w:val="202124"/>
        </w:rPr>
        <w:t xml:space="preserve">BOARD RECOMMENDATION. </w:t>
      </w:r>
      <w:r>
        <w:rPr>
          <w:rFonts w:ascii="Arial" w:cs="Arial" w:eastAsia="Arial" w:hAnsi="Arial"/>
          <w:sz w:val="17"/>
          <w:szCs w:val="17"/>
          <w:color w:val="202124"/>
        </w:rPr>
        <w:t>The Board of Directors believes the Executive Plan provides a valuable benefit both to</w:t>
      </w:r>
    </w:p>
    <w:p>
      <w:pPr>
        <w:spacing w:after="0" w:line="1" w:lineRule="exact"/>
        <w:rPr>
          <w:sz w:val="20"/>
          <w:szCs w:val="20"/>
          <w:color w:val="auto"/>
        </w:rPr>
      </w:pPr>
    </w:p>
    <w:p>
      <w:pPr>
        <w:ind w:left="640" w:right="60"/>
        <w:spacing w:after="0" w:line="226" w:lineRule="auto"/>
        <w:rPr>
          <w:sz w:val="20"/>
          <w:szCs w:val="20"/>
          <w:color w:val="auto"/>
        </w:rPr>
      </w:pPr>
      <w:r>
        <w:rPr>
          <w:rFonts w:ascii="Arial" w:cs="Arial" w:eastAsia="Arial" w:hAnsi="Arial"/>
          <w:sz w:val="18"/>
          <w:szCs w:val="18"/>
          <w:color w:val="202124"/>
        </w:rPr>
        <w:t>AutoZoners eligible to participate and to the Company, by helping participants provide for their future security and further aligning their interests with those of AutoZone shareholders through additional investment in AutoZone above the limits of</w:t>
      </w:r>
    </w:p>
    <w:p>
      <w:pPr>
        <w:ind w:left="640"/>
        <w:spacing w:after="0" w:line="236" w:lineRule="auto"/>
        <w:rPr>
          <w:sz w:val="20"/>
          <w:szCs w:val="20"/>
          <w:color w:val="auto"/>
        </w:rPr>
      </w:pPr>
      <w:r>
        <w:rPr>
          <w:rFonts w:ascii="Arial" w:cs="Arial" w:eastAsia="Arial" w:hAnsi="Arial"/>
          <w:sz w:val="18"/>
          <w:szCs w:val="18"/>
          <w:color w:val="202124"/>
        </w:rPr>
        <w:t>the ESPP, while also providing AutoZone with a valuable recruitment and retention tool in a competitive marketplace for</w:t>
      </w:r>
    </w:p>
    <w:p>
      <w:pPr>
        <w:ind w:left="640"/>
        <w:spacing w:after="0" w:line="219" w:lineRule="auto"/>
        <w:rPr>
          <w:sz w:val="20"/>
          <w:szCs w:val="20"/>
          <w:color w:val="auto"/>
        </w:rPr>
      </w:pPr>
      <w:r>
        <w:rPr>
          <w:rFonts w:ascii="Arial" w:cs="Arial" w:eastAsia="Arial" w:hAnsi="Arial"/>
          <w:sz w:val="18"/>
          <w:szCs w:val="18"/>
          <w:color w:val="202124"/>
        </w:rPr>
        <w:t>management talent. Accordingly, we urge stockholders to vote FOR ratification and adoption of the AutoZone, Inc.</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Seventh Amended and Restated Executive Stock Purchase Plan.</w:t>
      </w:r>
    </w:p>
    <w:p>
      <w:pPr>
        <w:spacing w:after="0" w:line="200" w:lineRule="exact"/>
        <w:rPr>
          <w:sz w:val="20"/>
          <w:szCs w:val="20"/>
          <w:color w:val="auto"/>
        </w:rPr>
      </w:pPr>
    </w:p>
    <w:p>
      <w:pPr>
        <w:spacing w:after="0" w:line="237" w:lineRule="exact"/>
        <w:rPr>
          <w:sz w:val="20"/>
          <w:szCs w:val="20"/>
          <w:color w:val="auto"/>
        </w:rPr>
      </w:pPr>
    </w:p>
    <w:p>
      <w:pPr>
        <w:jc w:val="center"/>
        <w:ind w:left="2240" w:right="1340"/>
        <w:spacing w:after="0" w:line="253" w:lineRule="auto"/>
        <w:rPr>
          <w:sz w:val="20"/>
          <w:szCs w:val="20"/>
          <w:color w:val="auto"/>
        </w:rPr>
      </w:pPr>
      <w:r>
        <w:rPr>
          <w:rFonts w:ascii="Arial" w:cs="Arial" w:eastAsia="Arial" w:hAnsi="Arial"/>
          <w:sz w:val="18"/>
          <w:szCs w:val="18"/>
          <w:color w:val="202124"/>
        </w:rPr>
        <w:t xml:space="preserve">The Board recommends that stockholders vote </w:t>
      </w:r>
      <w:r>
        <w:rPr>
          <w:rFonts w:ascii="Arial" w:cs="Arial" w:eastAsia="Arial" w:hAnsi="Arial"/>
          <w:sz w:val="18"/>
          <w:szCs w:val="18"/>
          <w:b w:val="1"/>
          <w:bCs w:val="1"/>
          <w:color w:val="F37F00"/>
        </w:rPr>
        <w:t>FOR</w:t>
      </w:r>
      <w:r>
        <w:rPr>
          <w:rFonts w:ascii="Arial" w:cs="Arial" w:eastAsia="Arial" w:hAnsi="Arial"/>
          <w:sz w:val="18"/>
          <w:szCs w:val="18"/>
          <w:color w:val="202124"/>
        </w:rPr>
        <w:t xml:space="preserve"> ratification and adoption of the AutoZone, Inc. Seventh Amended and Restated Executive Stock Purchase Plan</w:t>
      </w:r>
    </w:p>
    <w:p>
      <w:pPr>
        <w:spacing w:after="0" w:line="200" w:lineRule="exact"/>
        <w:rPr>
          <w:sz w:val="20"/>
          <w:szCs w:val="20"/>
          <w:color w:val="auto"/>
        </w:rPr>
      </w:pPr>
    </w:p>
    <w:p>
      <w:pPr>
        <w:spacing w:after="0" w:line="268"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Other Matters</w:t>
      </w:r>
    </w:p>
    <w:p>
      <w:pPr>
        <w:spacing w:after="0" w:line="124" w:lineRule="exact"/>
        <w:rPr>
          <w:sz w:val="20"/>
          <w:szCs w:val="20"/>
          <w:color w:val="auto"/>
        </w:rPr>
      </w:pPr>
    </w:p>
    <w:p>
      <w:pPr>
        <w:ind w:left="640" w:right="320"/>
        <w:spacing w:after="0" w:line="253" w:lineRule="auto"/>
        <w:rPr>
          <w:sz w:val="20"/>
          <w:szCs w:val="20"/>
          <w:color w:val="auto"/>
        </w:rPr>
      </w:pPr>
      <w:r>
        <w:rPr>
          <w:rFonts w:ascii="Arial" w:cs="Arial" w:eastAsia="Arial" w:hAnsi="Arial"/>
          <w:sz w:val="18"/>
          <w:szCs w:val="18"/>
          <w:color w:val="202124"/>
        </w:rPr>
        <w:t>We do not know of any matters to be presented at the Annual Meeting other than those discussed in this Proxy Statement. If, however, other matters are properly brought before the Annual Meeting, your proxies will be able to vote those matters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39</w:t>
            </w:r>
          </w:p>
        </w:tc>
      </w:tr>
    </w:tbl>
    <w:p>
      <w:pPr>
        <w:sectPr>
          <w:pgSz w:w="11900" w:h="16838" w:orient="portrait"/>
          <w:cols w:equalWidth="0" w:num="1">
            <w:col w:w="10360"/>
          </w:cols>
          <w:pgMar w:left="440" w:top="106" w:right="1099" w:bottom="1440" w:gutter="0" w:footer="0" w:header="0"/>
        </w:sectPr>
      </w:pPr>
    </w:p>
    <w:bookmarkStart w:id="42" w:name="page43"/>
    <w:bookmarkEnd w:id="4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639"/>
        <w:spacing w:after="0"/>
        <w:rPr>
          <w:sz w:val="20"/>
          <w:szCs w:val="20"/>
          <w:color w:val="auto"/>
        </w:rPr>
      </w:pPr>
      <w:r>
        <w:rPr>
          <w:rFonts w:ascii="Arial" w:cs="Arial" w:eastAsia="Arial" w:hAnsi="Arial"/>
          <w:sz w:val="47"/>
          <w:szCs w:val="47"/>
          <w:b w:val="1"/>
          <w:bCs w:val="1"/>
          <w:color w:val="202124"/>
        </w:rPr>
        <w:t>COMPENSATION DISCUSSION</w:t>
      </w:r>
    </w:p>
    <w:p>
      <w:pPr>
        <w:jc w:val="center"/>
        <w:ind w:right="-639"/>
        <w:spacing w:after="0"/>
        <w:rPr>
          <w:sz w:val="20"/>
          <w:szCs w:val="20"/>
          <w:color w:val="auto"/>
        </w:rPr>
      </w:pPr>
      <w:r>
        <w:rPr>
          <w:rFonts w:ascii="Arial" w:cs="Arial" w:eastAsia="Arial" w:hAnsi="Arial"/>
          <w:sz w:val="47"/>
          <w:szCs w:val="47"/>
          <w:b w:val="1"/>
          <w:bCs w:val="1"/>
          <w:color w:val="202124"/>
        </w:rPr>
        <w:t>AND ANALYSIS</w:t>
      </w:r>
    </w:p>
    <w:p>
      <w:pPr>
        <w:spacing w:after="0" w:line="148" w:lineRule="exact"/>
        <w:rPr>
          <w:sz w:val="20"/>
          <w:szCs w:val="20"/>
          <w:color w:val="auto"/>
        </w:rPr>
      </w:pPr>
    </w:p>
    <w:p>
      <w:pPr>
        <w:ind w:left="640" w:right="400"/>
        <w:spacing w:after="0" w:line="253" w:lineRule="auto"/>
        <w:rPr>
          <w:sz w:val="20"/>
          <w:szCs w:val="20"/>
          <w:color w:val="auto"/>
        </w:rPr>
      </w:pPr>
      <w:r>
        <w:rPr>
          <w:rFonts w:ascii="Arial" w:cs="Arial" w:eastAsia="Arial" w:hAnsi="Arial"/>
          <w:sz w:val="18"/>
          <w:szCs w:val="18"/>
          <w:color w:val="202124"/>
        </w:rPr>
        <w:t>This Compensation Discussion and Analysis (“CD&amp;A”) explains our compensation program for our named executive officers (“NEOs”) for fiscal year 2026 (“FY26”). This CD&amp;A also describes the Compensation Committee’s process for making pay decisions, as well as its rationale for specific compensation-related decisions.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358"/>
        </w:trPr>
        <w:tc>
          <w:tcPr>
            <w:tcW w:w="260" w:type="dxa"/>
            <w:vAlign w:val="bottom"/>
            <w:tcBorders>
              <w:right w:val="single" w:sz="8" w:color="202124"/>
            </w:tcBorders>
            <w:shd w:val="clear" w:color="auto" w:fill="202124"/>
          </w:tcPr>
          <w:p>
            <w:pPr>
              <w:spacing w:after="0"/>
              <w:rPr>
                <w:sz w:val="24"/>
                <w:szCs w:val="24"/>
                <w:color w:val="auto"/>
              </w:rPr>
            </w:pPr>
          </w:p>
        </w:tc>
        <w:tc>
          <w:tcPr>
            <w:tcW w:w="960" w:type="dxa"/>
            <w:vAlign w:val="bottom"/>
            <w:shd w:val="clear" w:color="auto" w:fill="202124"/>
          </w:tcPr>
          <w:p>
            <w:pPr>
              <w:spacing w:after="0"/>
              <w:rPr>
                <w:sz w:val="24"/>
                <w:szCs w:val="24"/>
                <w:color w:val="auto"/>
              </w:rPr>
            </w:pPr>
          </w:p>
        </w:tc>
        <w:tc>
          <w:tcPr>
            <w:tcW w:w="180" w:type="dxa"/>
            <w:vAlign w:val="bottom"/>
            <w:shd w:val="clear" w:color="auto" w:fill="202124"/>
          </w:tcPr>
          <w:p>
            <w:pPr>
              <w:spacing w:after="0"/>
              <w:rPr>
                <w:sz w:val="24"/>
                <w:szCs w:val="24"/>
                <w:color w:val="auto"/>
              </w:rPr>
            </w:pPr>
          </w:p>
        </w:tc>
        <w:tc>
          <w:tcPr>
            <w:tcW w:w="2680" w:type="dxa"/>
            <w:vAlign w:val="bottom"/>
            <w:gridSpan w:val="17"/>
            <w:shd w:val="clear" w:color="auto" w:fill="202124"/>
          </w:tcPr>
          <w:p>
            <w:pPr>
              <w:ind w:left="80"/>
              <w:spacing w:after="0"/>
              <w:rPr>
                <w:sz w:val="20"/>
                <w:szCs w:val="20"/>
                <w:color w:val="auto"/>
              </w:rPr>
            </w:pPr>
            <w:r>
              <w:rPr>
                <w:rFonts w:ascii="Arial" w:cs="Arial" w:eastAsia="Arial" w:hAnsi="Arial"/>
                <w:sz w:val="20"/>
                <w:szCs w:val="20"/>
                <w:b w:val="1"/>
                <w:bCs w:val="1"/>
                <w:color w:val="FFFFFF"/>
              </w:rPr>
              <w:t>Table of Contents</w:t>
            </w:r>
          </w:p>
        </w:tc>
        <w:tc>
          <w:tcPr>
            <w:tcW w:w="520" w:type="dxa"/>
            <w:vAlign w:val="bottom"/>
            <w:shd w:val="clear" w:color="auto" w:fill="202124"/>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shd w:val="clear" w:color="auto" w:fill="202124"/>
          </w:tcPr>
          <w:p>
            <w:pPr>
              <w:ind w:left="800"/>
              <w:spacing w:after="0"/>
              <w:rPr>
                <w:sz w:val="20"/>
                <w:szCs w:val="20"/>
                <w:color w:val="auto"/>
              </w:rPr>
            </w:pPr>
            <w:r>
              <w:rPr>
                <w:rFonts w:ascii="Arial" w:cs="Arial" w:eastAsia="Arial" w:hAnsi="Arial"/>
                <w:sz w:val="20"/>
                <w:szCs w:val="20"/>
                <w:b w:val="1"/>
                <w:bCs w:val="1"/>
                <w:color w:val="FFFFFF"/>
              </w:rPr>
              <w:t>Compensation Committee Report</w:t>
            </w:r>
          </w:p>
        </w:tc>
        <w:tc>
          <w:tcPr>
            <w:tcW w:w="0" w:type="dxa"/>
            <w:vAlign w:val="bottom"/>
          </w:tcPr>
          <w:p>
            <w:pPr>
              <w:spacing w:after="0"/>
              <w:rPr>
                <w:sz w:val="1"/>
                <w:szCs w:val="1"/>
                <w:color w:val="auto"/>
              </w:rPr>
            </w:pPr>
          </w:p>
        </w:tc>
      </w:tr>
      <w:tr>
        <w:trPr>
          <w:trHeight w:val="88"/>
        </w:trPr>
        <w:tc>
          <w:tcPr>
            <w:tcW w:w="260" w:type="dxa"/>
            <w:vAlign w:val="bottom"/>
            <w:tcBorders>
              <w:right w:val="single" w:sz="8" w:color="202124"/>
            </w:tcBorders>
            <w:shd w:val="clear" w:color="auto" w:fill="202124"/>
          </w:tcPr>
          <w:p>
            <w:pPr>
              <w:spacing w:after="0"/>
              <w:rPr>
                <w:sz w:val="7"/>
                <w:szCs w:val="7"/>
                <w:color w:val="auto"/>
              </w:rPr>
            </w:pPr>
          </w:p>
        </w:tc>
        <w:tc>
          <w:tcPr>
            <w:tcW w:w="960" w:type="dxa"/>
            <w:vAlign w:val="bottom"/>
            <w:shd w:val="clear" w:color="auto" w:fill="202124"/>
          </w:tcPr>
          <w:p>
            <w:pPr>
              <w:spacing w:after="0"/>
              <w:rPr>
                <w:sz w:val="7"/>
                <w:szCs w:val="7"/>
                <w:color w:val="auto"/>
              </w:rPr>
            </w:pPr>
          </w:p>
        </w:tc>
        <w:tc>
          <w:tcPr>
            <w:tcW w:w="180" w:type="dxa"/>
            <w:vAlign w:val="bottom"/>
            <w:shd w:val="clear" w:color="auto" w:fill="202124"/>
          </w:tcPr>
          <w:p>
            <w:pPr>
              <w:spacing w:after="0"/>
              <w:rPr>
                <w:sz w:val="7"/>
                <w:szCs w:val="7"/>
                <w:color w:val="auto"/>
              </w:rPr>
            </w:pPr>
          </w:p>
        </w:tc>
        <w:tc>
          <w:tcPr>
            <w:tcW w:w="300" w:type="dxa"/>
            <w:vAlign w:val="bottom"/>
            <w:shd w:val="clear" w:color="auto" w:fill="202124"/>
          </w:tcPr>
          <w:p>
            <w:pPr>
              <w:spacing w:after="0"/>
              <w:rPr>
                <w:sz w:val="7"/>
                <w:szCs w:val="7"/>
                <w:color w:val="auto"/>
              </w:rPr>
            </w:pPr>
          </w:p>
        </w:tc>
        <w:tc>
          <w:tcPr>
            <w:tcW w:w="20" w:type="dxa"/>
            <w:vAlign w:val="bottom"/>
            <w:shd w:val="clear" w:color="auto" w:fill="202124"/>
          </w:tcPr>
          <w:p>
            <w:pPr>
              <w:spacing w:after="0"/>
              <w:rPr>
                <w:sz w:val="7"/>
                <w:szCs w:val="7"/>
                <w:color w:val="auto"/>
              </w:rPr>
            </w:pPr>
          </w:p>
        </w:tc>
        <w:tc>
          <w:tcPr>
            <w:tcW w:w="200" w:type="dxa"/>
            <w:vAlign w:val="bottom"/>
            <w:shd w:val="clear" w:color="auto" w:fill="202124"/>
          </w:tcPr>
          <w:p>
            <w:pPr>
              <w:spacing w:after="0"/>
              <w:rPr>
                <w:sz w:val="7"/>
                <w:szCs w:val="7"/>
                <w:color w:val="auto"/>
              </w:rPr>
            </w:pPr>
          </w:p>
        </w:tc>
        <w:tc>
          <w:tcPr>
            <w:tcW w:w="80" w:type="dxa"/>
            <w:vAlign w:val="bottom"/>
            <w:shd w:val="clear" w:color="auto" w:fill="202124"/>
          </w:tcPr>
          <w:p>
            <w:pPr>
              <w:spacing w:after="0"/>
              <w:rPr>
                <w:sz w:val="7"/>
                <w:szCs w:val="7"/>
                <w:color w:val="auto"/>
              </w:rPr>
            </w:pPr>
          </w:p>
        </w:tc>
        <w:tc>
          <w:tcPr>
            <w:tcW w:w="280" w:type="dxa"/>
            <w:vAlign w:val="bottom"/>
            <w:tcBorders>
              <w:right w:val="single" w:sz="8" w:color="202124"/>
            </w:tcBorders>
            <w:shd w:val="clear" w:color="auto" w:fill="202124"/>
          </w:tcPr>
          <w:p>
            <w:pPr>
              <w:spacing w:after="0"/>
              <w:rPr>
                <w:sz w:val="7"/>
                <w:szCs w:val="7"/>
                <w:color w:val="auto"/>
              </w:rPr>
            </w:pPr>
          </w:p>
        </w:tc>
        <w:tc>
          <w:tcPr>
            <w:tcW w:w="60" w:type="dxa"/>
            <w:vAlign w:val="bottom"/>
            <w:tcBorders>
              <w:right w:val="single" w:sz="8" w:color="202124"/>
            </w:tcBorders>
            <w:shd w:val="clear" w:color="auto" w:fill="202124"/>
          </w:tcPr>
          <w:p>
            <w:pPr>
              <w:spacing w:after="0"/>
              <w:rPr>
                <w:sz w:val="7"/>
                <w:szCs w:val="7"/>
                <w:color w:val="auto"/>
              </w:rPr>
            </w:pPr>
          </w:p>
        </w:tc>
        <w:tc>
          <w:tcPr>
            <w:tcW w:w="20" w:type="dxa"/>
            <w:vAlign w:val="bottom"/>
            <w:shd w:val="clear" w:color="auto" w:fill="202124"/>
          </w:tcPr>
          <w:p>
            <w:pPr>
              <w:spacing w:after="0"/>
              <w:rPr>
                <w:sz w:val="7"/>
                <w:szCs w:val="7"/>
                <w:color w:val="auto"/>
              </w:rPr>
            </w:pPr>
          </w:p>
        </w:tc>
        <w:tc>
          <w:tcPr>
            <w:tcW w:w="180" w:type="dxa"/>
            <w:vAlign w:val="bottom"/>
            <w:shd w:val="clear" w:color="auto" w:fill="202124"/>
          </w:tcPr>
          <w:p>
            <w:pPr>
              <w:spacing w:after="0"/>
              <w:rPr>
                <w:sz w:val="7"/>
                <w:szCs w:val="7"/>
                <w:color w:val="auto"/>
              </w:rPr>
            </w:pPr>
          </w:p>
        </w:tc>
        <w:tc>
          <w:tcPr>
            <w:tcW w:w="100" w:type="dxa"/>
            <w:vAlign w:val="bottom"/>
            <w:shd w:val="clear" w:color="auto" w:fill="202124"/>
          </w:tcPr>
          <w:p>
            <w:pPr>
              <w:spacing w:after="0"/>
              <w:rPr>
                <w:sz w:val="7"/>
                <w:szCs w:val="7"/>
                <w:color w:val="auto"/>
              </w:rPr>
            </w:pPr>
          </w:p>
        </w:tc>
        <w:tc>
          <w:tcPr>
            <w:tcW w:w="40" w:type="dxa"/>
            <w:vAlign w:val="bottom"/>
            <w:shd w:val="clear" w:color="auto" w:fill="202124"/>
          </w:tcPr>
          <w:p>
            <w:pPr>
              <w:spacing w:after="0"/>
              <w:rPr>
                <w:sz w:val="7"/>
                <w:szCs w:val="7"/>
                <w:color w:val="auto"/>
              </w:rPr>
            </w:pPr>
          </w:p>
        </w:tc>
        <w:tc>
          <w:tcPr>
            <w:tcW w:w="200" w:type="dxa"/>
            <w:vAlign w:val="bottom"/>
            <w:shd w:val="clear" w:color="auto" w:fill="202124"/>
          </w:tcPr>
          <w:p>
            <w:pPr>
              <w:spacing w:after="0"/>
              <w:rPr>
                <w:sz w:val="7"/>
                <w:szCs w:val="7"/>
                <w:color w:val="auto"/>
              </w:rPr>
            </w:pPr>
          </w:p>
        </w:tc>
        <w:tc>
          <w:tcPr>
            <w:tcW w:w="120" w:type="dxa"/>
            <w:vAlign w:val="bottom"/>
            <w:shd w:val="clear" w:color="auto" w:fill="202124"/>
          </w:tcPr>
          <w:p>
            <w:pPr>
              <w:spacing w:after="0"/>
              <w:rPr>
                <w:sz w:val="7"/>
                <w:szCs w:val="7"/>
                <w:color w:val="auto"/>
              </w:rPr>
            </w:pPr>
          </w:p>
        </w:tc>
        <w:tc>
          <w:tcPr>
            <w:tcW w:w="20" w:type="dxa"/>
            <w:vAlign w:val="bottom"/>
            <w:shd w:val="clear" w:color="auto" w:fill="202124"/>
          </w:tcPr>
          <w:p>
            <w:pPr>
              <w:spacing w:after="0"/>
              <w:rPr>
                <w:sz w:val="7"/>
                <w:szCs w:val="7"/>
                <w:color w:val="auto"/>
              </w:rPr>
            </w:pPr>
          </w:p>
        </w:tc>
        <w:tc>
          <w:tcPr>
            <w:tcW w:w="140" w:type="dxa"/>
            <w:vAlign w:val="bottom"/>
            <w:shd w:val="clear" w:color="auto" w:fill="202124"/>
          </w:tcPr>
          <w:p>
            <w:pPr>
              <w:spacing w:after="0"/>
              <w:rPr>
                <w:sz w:val="7"/>
                <w:szCs w:val="7"/>
                <w:color w:val="auto"/>
              </w:rPr>
            </w:pPr>
          </w:p>
        </w:tc>
        <w:tc>
          <w:tcPr>
            <w:tcW w:w="120" w:type="dxa"/>
            <w:vAlign w:val="bottom"/>
            <w:shd w:val="clear" w:color="auto" w:fill="202124"/>
          </w:tcPr>
          <w:p>
            <w:pPr>
              <w:spacing w:after="0"/>
              <w:rPr>
                <w:sz w:val="7"/>
                <w:szCs w:val="7"/>
                <w:color w:val="auto"/>
              </w:rPr>
            </w:pPr>
          </w:p>
        </w:tc>
        <w:tc>
          <w:tcPr>
            <w:tcW w:w="680" w:type="dxa"/>
            <w:vAlign w:val="bottom"/>
            <w:shd w:val="clear" w:color="auto" w:fill="202124"/>
          </w:tcPr>
          <w:p>
            <w:pPr>
              <w:spacing w:after="0"/>
              <w:rPr>
                <w:sz w:val="7"/>
                <w:szCs w:val="7"/>
                <w:color w:val="auto"/>
              </w:rPr>
            </w:pPr>
          </w:p>
        </w:tc>
        <w:tc>
          <w:tcPr>
            <w:tcW w:w="120" w:type="dxa"/>
            <w:vAlign w:val="bottom"/>
            <w:shd w:val="clear" w:color="auto" w:fill="202124"/>
          </w:tcPr>
          <w:p>
            <w:pPr>
              <w:spacing w:after="0"/>
              <w:rPr>
                <w:sz w:val="7"/>
                <w:szCs w:val="7"/>
                <w:color w:val="auto"/>
              </w:rPr>
            </w:pPr>
          </w:p>
        </w:tc>
        <w:tc>
          <w:tcPr>
            <w:tcW w:w="520" w:type="dxa"/>
            <w:vAlign w:val="bottom"/>
            <w:shd w:val="clear" w:color="auto" w:fill="202124"/>
          </w:tcPr>
          <w:p>
            <w:pPr>
              <w:spacing w:after="0"/>
              <w:rPr>
                <w:sz w:val="7"/>
                <w:szCs w:val="7"/>
                <w:color w:val="auto"/>
              </w:rPr>
            </w:pPr>
          </w:p>
        </w:tc>
        <w:tc>
          <w:tcPr>
            <w:tcW w:w="360" w:type="dxa"/>
            <w:vAlign w:val="bottom"/>
          </w:tcPr>
          <w:p>
            <w:pPr>
              <w:spacing w:after="0"/>
              <w:rPr>
                <w:sz w:val="7"/>
                <w:szCs w:val="7"/>
                <w:color w:val="auto"/>
              </w:rPr>
            </w:pPr>
          </w:p>
        </w:tc>
        <w:tc>
          <w:tcPr>
            <w:tcW w:w="4760" w:type="dxa"/>
            <w:vAlign w:val="bottom"/>
            <w:shd w:val="clear" w:color="auto" w:fill="202124"/>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9"/>
              </w:rPr>
              <w:t>Executive Summary</w:t>
            </w:r>
          </w:p>
        </w:tc>
        <w:tc>
          <w:tcPr>
            <w:tcW w:w="2360" w:type="dxa"/>
            <w:vAlign w:val="bottom"/>
            <w:gridSpan w:val="15"/>
          </w:tcPr>
          <w:p>
            <w:pPr>
              <w:spacing w:after="0"/>
              <w:rPr>
                <w:sz w:val="19"/>
                <w:szCs w:val="19"/>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202124"/>
              </w:rPr>
              <w:t>41</w:t>
            </w:r>
          </w:p>
        </w:tc>
        <w:tc>
          <w:tcPr>
            <w:tcW w:w="5120" w:type="dxa"/>
            <w:vAlign w:val="bottom"/>
            <w:gridSpan w:val="2"/>
          </w:tcPr>
          <w:p>
            <w:pPr>
              <w:ind w:left="360"/>
              <w:spacing w:after="0"/>
              <w:rPr>
                <w:sz w:val="20"/>
                <w:szCs w:val="20"/>
                <w:color w:val="auto"/>
              </w:rPr>
            </w:pPr>
            <w:r>
              <w:rPr>
                <w:rFonts w:ascii="Arial" w:cs="Arial" w:eastAsia="Arial" w:hAnsi="Arial"/>
                <w:sz w:val="18"/>
                <w:szCs w:val="18"/>
                <w:color w:val="202124"/>
              </w:rPr>
              <w:t>The Compensation Committee of the Board has reviewed</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820" w:type="dxa"/>
            <w:vAlign w:val="bottom"/>
            <w:gridSpan w:val="19"/>
          </w:tcPr>
          <w:p>
            <w:pPr>
              <w:spacing w:after="0"/>
              <w:rPr>
                <w:sz w:val="20"/>
                <w:szCs w:val="20"/>
                <w:color w:val="auto"/>
              </w:rPr>
            </w:pPr>
            <w:r>
              <w:rPr>
                <w:rFonts w:ascii="Arial" w:cs="Arial" w:eastAsia="Arial" w:hAnsi="Arial"/>
                <w:sz w:val="18"/>
                <w:szCs w:val="18"/>
                <w:color w:val="0000EE"/>
              </w:rPr>
              <w:t>FY26 Year in Review</w:t>
            </w:r>
          </w:p>
        </w:tc>
        <w:tc>
          <w:tcPr>
            <w:tcW w:w="520" w:type="dxa"/>
            <w:vAlign w:val="bottom"/>
          </w:tcPr>
          <w:p>
            <w:pPr>
              <w:jc w:val="right"/>
              <w:ind w:right="110"/>
              <w:spacing w:after="0"/>
              <w:rPr>
                <w:sz w:val="20"/>
                <w:szCs w:val="20"/>
                <w:color w:val="auto"/>
              </w:rPr>
            </w:pPr>
            <w:r>
              <w:rPr>
                <w:rFonts w:ascii="Arial" w:cs="Arial" w:eastAsia="Arial" w:hAnsi="Arial"/>
                <w:sz w:val="18"/>
                <w:szCs w:val="18"/>
                <w:color w:val="202124"/>
              </w:rPr>
              <w:t>41</w:t>
            </w:r>
          </w:p>
        </w:tc>
        <w:tc>
          <w:tcPr>
            <w:tcW w:w="5120" w:type="dxa"/>
            <w:vAlign w:val="bottom"/>
            <w:gridSpan w:val="2"/>
          </w:tcPr>
          <w:p>
            <w:pPr>
              <w:ind w:left="360"/>
              <w:spacing w:after="0"/>
              <w:rPr>
                <w:sz w:val="20"/>
                <w:szCs w:val="20"/>
                <w:color w:val="auto"/>
              </w:rPr>
            </w:pPr>
            <w:r>
              <w:rPr>
                <w:rFonts w:ascii="Arial" w:cs="Arial" w:eastAsia="Arial" w:hAnsi="Arial"/>
                <w:sz w:val="18"/>
                <w:szCs w:val="18"/>
                <w:color w:val="202124"/>
              </w:rPr>
              <w:t>and discussed with management the following CD&amp;A.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20" w:type="dxa"/>
            <w:vAlign w:val="bottom"/>
            <w:gridSpan w:val="2"/>
            <w:vMerge w:val="restart"/>
          </w:tcPr>
          <w:p>
            <w:pPr>
              <w:ind w:left="360"/>
              <w:spacing w:after="0" w:line="184" w:lineRule="exact"/>
              <w:rPr>
                <w:sz w:val="20"/>
                <w:szCs w:val="20"/>
                <w:color w:val="auto"/>
              </w:rPr>
            </w:pPr>
            <w:r>
              <w:rPr>
                <w:rFonts w:ascii="Arial" w:cs="Arial" w:eastAsia="Arial" w:hAnsi="Arial"/>
                <w:sz w:val="18"/>
                <w:szCs w:val="18"/>
                <w:color w:val="202124"/>
              </w:rPr>
              <w:t>Based on such review and discussions, the Compensation</w:t>
            </w:r>
          </w:p>
        </w:tc>
        <w:tc>
          <w:tcPr>
            <w:tcW w:w="0" w:type="dxa"/>
            <w:vAlign w:val="bottom"/>
          </w:tcPr>
          <w:p>
            <w:pPr>
              <w:spacing w:after="0" w:line="20" w:lineRule="exact"/>
              <w:rPr>
                <w:sz w:val="1"/>
                <w:szCs w:val="1"/>
                <w:color w:val="auto"/>
              </w:rPr>
            </w:pPr>
          </w:p>
        </w:tc>
      </w:tr>
      <w:tr>
        <w:trPr>
          <w:trHeight w:val="164"/>
        </w:trPr>
        <w:tc>
          <w:tcPr>
            <w:tcW w:w="4080" w:type="dxa"/>
            <w:vAlign w:val="bottom"/>
            <w:gridSpan w:val="20"/>
            <w:vMerge w:val="restart"/>
          </w:tcPr>
          <w:p>
            <w:pPr>
              <w:spacing w:after="0"/>
              <w:rPr>
                <w:sz w:val="20"/>
                <w:szCs w:val="20"/>
                <w:color w:val="auto"/>
              </w:rPr>
            </w:pPr>
            <w:r>
              <w:rPr>
                <w:rFonts w:ascii="Arial" w:cs="Arial" w:eastAsia="Arial" w:hAnsi="Arial"/>
                <w:sz w:val="18"/>
                <w:szCs w:val="18"/>
                <w:b w:val="1"/>
                <w:bCs w:val="1"/>
                <w:color w:val="0000EE"/>
              </w:rPr>
              <w:t>Compensation Framework</w:t>
            </w: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43</w:t>
            </w: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080" w:type="dxa"/>
            <w:vAlign w:val="bottom"/>
            <w:gridSpan w:val="20"/>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120" w:type="dxa"/>
            <w:vAlign w:val="bottom"/>
            <w:gridSpan w:val="2"/>
            <w:vMerge w:val="restart"/>
          </w:tcPr>
          <w:p>
            <w:pPr>
              <w:ind w:left="360"/>
              <w:spacing w:after="0" w:line="202" w:lineRule="exact"/>
              <w:rPr>
                <w:sz w:val="20"/>
                <w:szCs w:val="20"/>
                <w:color w:val="auto"/>
              </w:rPr>
            </w:pPr>
            <w:r>
              <w:rPr>
                <w:rFonts w:ascii="Arial" w:cs="Arial" w:eastAsia="Arial" w:hAnsi="Arial"/>
                <w:sz w:val="18"/>
                <w:szCs w:val="18"/>
                <w:color w:val="202124"/>
              </w:rPr>
              <w:t>Committee recommended to the Board of Directors that the</w:t>
            </w:r>
          </w:p>
        </w:tc>
        <w:tc>
          <w:tcPr>
            <w:tcW w:w="0" w:type="dxa"/>
            <w:vAlign w:val="bottom"/>
          </w:tcPr>
          <w:p>
            <w:pPr>
              <w:spacing w:after="0"/>
              <w:rPr>
                <w:sz w:val="1"/>
                <w:szCs w:val="1"/>
                <w:color w:val="auto"/>
              </w:rPr>
            </w:pPr>
          </w:p>
        </w:tc>
      </w:tr>
      <w:tr>
        <w:trPr>
          <w:trHeight w:val="83"/>
        </w:trPr>
        <w:tc>
          <w:tcPr>
            <w:tcW w:w="26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EE"/>
                <w:w w:val="97"/>
              </w:rPr>
              <w:t>Guiding Principles</w:t>
            </w:r>
          </w:p>
        </w:tc>
        <w:tc>
          <w:tcPr>
            <w:tcW w:w="2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43</w:t>
            </w:r>
          </w:p>
        </w:tc>
        <w:tc>
          <w:tcPr>
            <w:tcW w:w="5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260" w:type="dxa"/>
            <w:vAlign w:val="bottom"/>
          </w:tcPr>
          <w:p>
            <w:pPr>
              <w:spacing w:after="0"/>
              <w:rPr>
                <w:sz w:val="12"/>
                <w:szCs w:val="12"/>
                <w:color w:val="auto"/>
              </w:rPr>
            </w:pPr>
          </w:p>
        </w:tc>
        <w:tc>
          <w:tcPr>
            <w:tcW w:w="1440" w:type="dxa"/>
            <w:vAlign w:val="bottom"/>
            <w:tcBorders>
              <w:bottom w:val="single" w:sz="8" w:color="0000EE"/>
            </w:tcBorders>
            <w:gridSpan w:val="3"/>
            <w:vMerge w:val="continue"/>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6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20" w:type="dxa"/>
            <w:vAlign w:val="bottom"/>
            <w:vMerge w:val="continue"/>
          </w:tcPr>
          <w:p>
            <w:pPr>
              <w:spacing w:after="0"/>
              <w:rPr>
                <w:sz w:val="12"/>
                <w:szCs w:val="12"/>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color w:val="202124"/>
              </w:rPr>
              <w:t>CD&amp;A be included in this proxy statement.</w:t>
            </w:r>
          </w:p>
        </w:tc>
        <w:tc>
          <w:tcPr>
            <w:tcW w:w="0" w:type="dxa"/>
            <w:vAlign w:val="bottom"/>
          </w:tcPr>
          <w:p>
            <w:pPr>
              <w:spacing w:after="0"/>
              <w:rPr>
                <w:sz w:val="1"/>
                <w:szCs w:val="1"/>
                <w:color w:val="auto"/>
              </w:rPr>
            </w:pPr>
          </w:p>
        </w:tc>
      </w:tr>
      <w:tr>
        <w:trPr>
          <w:trHeight w:val="69"/>
        </w:trPr>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3820" w:type="dxa"/>
            <w:vAlign w:val="bottom"/>
            <w:gridSpan w:val="19"/>
          </w:tcPr>
          <w:p>
            <w:pPr>
              <w:spacing w:after="0" w:line="195" w:lineRule="exact"/>
              <w:rPr>
                <w:sz w:val="20"/>
                <w:szCs w:val="20"/>
                <w:color w:val="auto"/>
              </w:rPr>
            </w:pPr>
            <w:r>
              <w:rPr>
                <w:rFonts w:ascii="Arial" w:cs="Arial" w:eastAsia="Arial" w:hAnsi="Arial"/>
                <w:sz w:val="18"/>
                <w:szCs w:val="18"/>
                <w:color w:val="0000EE"/>
              </w:rPr>
              <w:t>Compensation Elements and Mix</w:t>
            </w:r>
          </w:p>
        </w:tc>
        <w:tc>
          <w:tcPr>
            <w:tcW w:w="520" w:type="dxa"/>
            <w:vAlign w:val="bottom"/>
          </w:tcPr>
          <w:p>
            <w:pPr>
              <w:jc w:val="right"/>
              <w:ind w:right="110"/>
              <w:spacing w:after="0" w:line="195" w:lineRule="exact"/>
              <w:rPr>
                <w:sz w:val="20"/>
                <w:szCs w:val="20"/>
                <w:color w:val="auto"/>
              </w:rPr>
            </w:pPr>
            <w:r>
              <w:rPr>
                <w:rFonts w:ascii="Arial" w:cs="Arial" w:eastAsia="Arial" w:hAnsi="Arial"/>
                <w:sz w:val="18"/>
                <w:szCs w:val="18"/>
                <w:color w:val="202124"/>
              </w:rPr>
              <w:t>45</w:t>
            </w: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202124"/>
              </w:rPr>
              <w:t>Compensation Committee</w:t>
            </w:r>
            <w:r>
              <w:rPr>
                <w:rFonts w:ascii="Arial" w:cs="Arial" w:eastAsia="Arial" w:hAnsi="Arial"/>
                <w:sz w:val="18"/>
                <w:szCs w:val="18"/>
                <w:color w:val="202124"/>
              </w:rPr>
              <w:t>,</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2620" w:type="dxa"/>
            <w:vAlign w:val="bottom"/>
            <w:tcBorders>
              <w:top w:val="single" w:sz="8" w:color="0000EE"/>
            </w:tcBorders>
            <w:gridSpan w:val="13"/>
            <w:vMerge w:val="restart"/>
          </w:tcPr>
          <w:p>
            <w:pPr>
              <w:spacing w:after="0"/>
              <w:rPr>
                <w:sz w:val="20"/>
                <w:szCs w:val="20"/>
                <w:color w:val="auto"/>
              </w:rPr>
            </w:pPr>
            <w:r>
              <w:rPr>
                <w:rFonts w:ascii="Arial" w:cs="Arial" w:eastAsia="Arial" w:hAnsi="Arial"/>
                <w:sz w:val="18"/>
                <w:szCs w:val="18"/>
                <w:color w:val="0000EE"/>
              </w:rPr>
              <w:t>Target Compensation Mix</w:t>
            </w:r>
          </w:p>
        </w:tc>
        <w:tc>
          <w:tcPr>
            <w:tcW w:w="1200" w:type="dxa"/>
            <w:vAlign w:val="bottom"/>
            <w:gridSpan w:val="6"/>
            <w:vMerge w:val="restart"/>
          </w:tcPr>
          <w:p>
            <w:pPr>
              <w:spacing w:after="0"/>
              <w:rPr>
                <w:sz w:val="14"/>
                <w:szCs w:val="14"/>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46</w:t>
            </w: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60" w:type="dxa"/>
            <w:vAlign w:val="bottom"/>
          </w:tcPr>
          <w:p>
            <w:pPr>
              <w:spacing w:after="0"/>
              <w:rPr>
                <w:sz w:val="8"/>
                <w:szCs w:val="8"/>
                <w:color w:val="auto"/>
              </w:rPr>
            </w:pPr>
          </w:p>
        </w:tc>
        <w:tc>
          <w:tcPr>
            <w:tcW w:w="2620" w:type="dxa"/>
            <w:vAlign w:val="bottom"/>
            <w:gridSpan w:val="13"/>
            <w:vMerge w:val="continue"/>
          </w:tcPr>
          <w:p>
            <w:pPr>
              <w:spacing w:after="0"/>
              <w:rPr>
                <w:sz w:val="8"/>
                <w:szCs w:val="8"/>
                <w:color w:val="auto"/>
              </w:rPr>
            </w:pPr>
          </w:p>
        </w:tc>
        <w:tc>
          <w:tcPr>
            <w:tcW w:w="1200" w:type="dxa"/>
            <w:vAlign w:val="bottom"/>
            <w:gridSpan w:val="6"/>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760" w:type="dxa"/>
            <w:vAlign w:val="bottom"/>
            <w:vMerge w:val="restart"/>
          </w:tcPr>
          <w:p>
            <w:pPr>
              <w:ind w:left="240"/>
              <w:spacing w:after="0" w:line="202" w:lineRule="exact"/>
              <w:rPr>
                <w:sz w:val="20"/>
                <w:szCs w:val="20"/>
                <w:color w:val="auto"/>
              </w:rPr>
            </w:pPr>
            <w:r>
              <w:rPr>
                <w:rFonts w:ascii="Arial" w:cs="Arial" w:eastAsia="Arial" w:hAnsi="Arial"/>
                <w:sz w:val="18"/>
                <w:szCs w:val="18"/>
                <w:color w:val="202124"/>
              </w:rPr>
              <w:t>George R. Mrkonic, Jr. (Chair)</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080" w:type="dxa"/>
            <w:vAlign w:val="bottom"/>
            <w:gridSpan w:val="20"/>
            <w:vMerge w:val="restart"/>
          </w:tcPr>
          <w:p>
            <w:pPr>
              <w:spacing w:after="0"/>
              <w:rPr>
                <w:sz w:val="20"/>
                <w:szCs w:val="20"/>
                <w:color w:val="auto"/>
              </w:rPr>
            </w:pPr>
            <w:r>
              <w:rPr>
                <w:rFonts w:ascii="Arial" w:cs="Arial" w:eastAsia="Arial" w:hAnsi="Arial"/>
                <w:sz w:val="18"/>
                <w:szCs w:val="18"/>
                <w:b w:val="1"/>
                <w:bCs w:val="1"/>
                <w:color w:val="0000EE"/>
              </w:rPr>
              <w:t>Compensation Governance</w:t>
            </w: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47</w:t>
            </w:r>
          </w:p>
        </w:tc>
        <w:tc>
          <w:tcPr>
            <w:tcW w:w="360" w:type="dxa"/>
            <w:vAlign w:val="bottom"/>
          </w:tcPr>
          <w:p>
            <w:pPr>
              <w:spacing w:after="0"/>
              <w:rPr>
                <w:sz w:val="7"/>
                <w:szCs w:val="7"/>
                <w:color w:val="auto"/>
              </w:rPr>
            </w:pPr>
          </w:p>
        </w:tc>
        <w:tc>
          <w:tcPr>
            <w:tcW w:w="4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080" w:type="dxa"/>
            <w:vAlign w:val="bottom"/>
            <w:gridSpan w:val="20"/>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760" w:type="dxa"/>
            <w:vAlign w:val="bottom"/>
          </w:tcPr>
          <w:p>
            <w:pPr>
              <w:ind w:left="240"/>
              <w:spacing w:after="0" w:line="161" w:lineRule="exact"/>
              <w:rPr>
                <w:sz w:val="20"/>
                <w:szCs w:val="20"/>
                <w:color w:val="auto"/>
              </w:rPr>
            </w:pPr>
            <w:r>
              <w:rPr>
                <w:rFonts w:ascii="Arial" w:cs="Arial" w:eastAsia="Arial" w:hAnsi="Arial"/>
                <w:sz w:val="18"/>
                <w:szCs w:val="18"/>
                <w:color w:val="202124"/>
              </w:rPr>
              <w:t>Michael George</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vMerge w:val="restart"/>
          </w:tcPr>
          <w:p>
            <w:pPr>
              <w:ind w:left="240"/>
              <w:spacing w:after="0"/>
              <w:rPr>
                <w:sz w:val="20"/>
                <w:szCs w:val="20"/>
                <w:color w:val="auto"/>
              </w:rPr>
            </w:pPr>
            <w:r>
              <w:rPr>
                <w:rFonts w:ascii="Arial" w:cs="Arial" w:eastAsia="Arial" w:hAnsi="Arial"/>
                <w:sz w:val="18"/>
                <w:szCs w:val="18"/>
                <w:color w:val="202124"/>
              </w:rPr>
              <w:t>Brian P. Hannasch</w:t>
            </w: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29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Compensation Committee Oversight</w:t>
            </w:r>
          </w:p>
        </w:tc>
        <w:tc>
          <w:tcPr>
            <w:tcW w:w="920" w:type="dxa"/>
            <w:vAlign w:val="bottom"/>
            <w:gridSpan w:val="3"/>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202124"/>
              </w:rPr>
              <w:t>47</w:t>
            </w:r>
          </w:p>
        </w:tc>
        <w:tc>
          <w:tcPr>
            <w:tcW w:w="36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2100" w:type="dxa"/>
            <w:vAlign w:val="bottom"/>
            <w:gridSpan w:val="9"/>
            <w:vMerge w:val="restart"/>
          </w:tcPr>
          <w:p>
            <w:pPr>
              <w:spacing w:after="0"/>
              <w:rPr>
                <w:sz w:val="20"/>
                <w:szCs w:val="20"/>
                <w:color w:val="auto"/>
              </w:rPr>
            </w:pPr>
            <w:r>
              <w:rPr>
                <w:rFonts w:ascii="Arial" w:cs="Arial" w:eastAsia="Arial" w:hAnsi="Arial"/>
                <w:sz w:val="18"/>
                <w:szCs w:val="18"/>
                <w:color w:val="0000EE"/>
                <w:w w:val="98"/>
              </w:rPr>
              <w:t>Roles and Responsibilities</w:t>
            </w:r>
          </w:p>
        </w:tc>
        <w:tc>
          <w:tcPr>
            <w:tcW w:w="1720" w:type="dxa"/>
            <w:vAlign w:val="bottom"/>
            <w:gridSpan w:val="10"/>
            <w:vMerge w:val="restart"/>
          </w:tcPr>
          <w:p>
            <w:pPr>
              <w:spacing w:after="0"/>
              <w:rPr>
                <w:sz w:val="18"/>
                <w:szCs w:val="18"/>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47</w:t>
            </w:r>
          </w:p>
        </w:tc>
        <w:tc>
          <w:tcPr>
            <w:tcW w:w="36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202124"/>
              </w:rPr>
              <w:t>Claire R. McDonough</w:t>
            </w:r>
          </w:p>
        </w:tc>
        <w:tc>
          <w:tcPr>
            <w:tcW w:w="0" w:type="dxa"/>
            <w:vAlign w:val="bottom"/>
          </w:tcPr>
          <w:p>
            <w:pPr>
              <w:spacing w:after="0"/>
              <w:rPr>
                <w:sz w:val="1"/>
                <w:szCs w:val="1"/>
                <w:color w:val="auto"/>
              </w:rPr>
            </w:pPr>
          </w:p>
        </w:tc>
      </w:tr>
      <w:tr>
        <w:trPr>
          <w:trHeight w:val="63"/>
        </w:trPr>
        <w:tc>
          <w:tcPr>
            <w:tcW w:w="260" w:type="dxa"/>
            <w:vAlign w:val="bottom"/>
          </w:tcPr>
          <w:p>
            <w:pPr>
              <w:spacing w:after="0"/>
              <w:rPr>
                <w:sz w:val="5"/>
                <w:szCs w:val="5"/>
                <w:color w:val="auto"/>
              </w:rPr>
            </w:pPr>
          </w:p>
        </w:tc>
        <w:tc>
          <w:tcPr>
            <w:tcW w:w="2100" w:type="dxa"/>
            <w:vAlign w:val="bottom"/>
            <w:tcBorders>
              <w:bottom w:val="single" w:sz="8" w:color="0000EE"/>
            </w:tcBorders>
            <w:gridSpan w:val="9"/>
            <w:vMerge w:val="continue"/>
          </w:tcPr>
          <w:p>
            <w:pPr>
              <w:spacing w:after="0"/>
              <w:rPr>
                <w:sz w:val="5"/>
                <w:szCs w:val="5"/>
                <w:color w:val="auto"/>
              </w:rPr>
            </w:pPr>
          </w:p>
        </w:tc>
        <w:tc>
          <w:tcPr>
            <w:tcW w:w="1720" w:type="dxa"/>
            <w:vAlign w:val="bottom"/>
            <w:gridSpan w:val="10"/>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Benchmarking</w:t>
            </w:r>
          </w:p>
        </w:tc>
        <w:tc>
          <w:tcPr>
            <w:tcW w:w="600" w:type="dxa"/>
            <w:vAlign w:val="bottom"/>
            <w:gridSpan w:val="4"/>
            <w:vMerge w:val="restart"/>
          </w:tcPr>
          <w:p>
            <w:pPr>
              <w:spacing w:after="0"/>
              <w:rPr>
                <w:sz w:val="22"/>
                <w:szCs w:val="22"/>
                <w:color w:val="auto"/>
              </w:rPr>
            </w:pPr>
          </w:p>
        </w:tc>
        <w:tc>
          <w:tcPr>
            <w:tcW w:w="340" w:type="dxa"/>
            <w:vAlign w:val="bottom"/>
            <w:gridSpan w:val="2"/>
            <w:vMerge w:val="restart"/>
          </w:tcPr>
          <w:p>
            <w:pPr>
              <w:spacing w:after="0"/>
              <w:rPr>
                <w:sz w:val="22"/>
                <w:szCs w:val="22"/>
                <w:color w:val="auto"/>
              </w:rPr>
            </w:pPr>
          </w:p>
        </w:tc>
        <w:tc>
          <w:tcPr>
            <w:tcW w:w="200" w:type="dxa"/>
            <w:vAlign w:val="bottom"/>
            <w:gridSpan w:val="2"/>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320" w:type="dxa"/>
            <w:vAlign w:val="bottom"/>
            <w:gridSpan w:val="2"/>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260" w:type="dxa"/>
            <w:vAlign w:val="bottom"/>
            <w:gridSpan w:val="2"/>
            <w:vMerge w:val="restart"/>
          </w:tcPr>
          <w:p>
            <w:pPr>
              <w:spacing w:after="0"/>
              <w:rPr>
                <w:sz w:val="22"/>
                <w:szCs w:val="22"/>
                <w:color w:val="auto"/>
              </w:rPr>
            </w:pPr>
          </w:p>
        </w:tc>
        <w:tc>
          <w:tcPr>
            <w:tcW w:w="680" w:type="dxa"/>
            <w:vAlign w:val="bottom"/>
            <w:vMerge w:val="restart"/>
          </w:tcPr>
          <w:p>
            <w:pPr>
              <w:spacing w:after="0"/>
              <w:rPr>
                <w:sz w:val="22"/>
                <w:szCs w:val="22"/>
                <w:color w:val="auto"/>
              </w:rPr>
            </w:pPr>
          </w:p>
        </w:tc>
        <w:tc>
          <w:tcPr>
            <w:tcW w:w="120" w:type="dxa"/>
            <w:vAlign w:val="bottom"/>
            <w:vMerge w:val="restart"/>
          </w:tcPr>
          <w:p>
            <w:pPr>
              <w:spacing w:after="0"/>
              <w:rPr>
                <w:sz w:val="22"/>
                <w:szCs w:val="22"/>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49</w:t>
            </w:r>
          </w:p>
        </w:tc>
        <w:tc>
          <w:tcPr>
            <w:tcW w:w="3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gridSpan w:val="4"/>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199" w:lineRule="exact"/>
              <w:rPr>
                <w:sz w:val="20"/>
                <w:szCs w:val="20"/>
                <w:color w:val="auto"/>
              </w:rPr>
            </w:pPr>
            <w:r>
              <w:rPr>
                <w:rFonts w:ascii="Arial" w:cs="Arial" w:eastAsia="Arial" w:hAnsi="Arial"/>
                <w:sz w:val="18"/>
                <w:szCs w:val="18"/>
                <w:color w:val="0000EE"/>
                <w:w w:val="98"/>
              </w:rPr>
              <w:t>Establishing Compensation Levels</w:t>
            </w:r>
          </w:p>
        </w:tc>
        <w:tc>
          <w:tcPr>
            <w:tcW w:w="1080" w:type="dxa"/>
            <w:vAlign w:val="bottom"/>
            <w:gridSpan w:val="5"/>
          </w:tcPr>
          <w:p>
            <w:pPr>
              <w:spacing w:after="0"/>
              <w:rPr>
                <w:sz w:val="17"/>
                <w:szCs w:val="17"/>
                <w:color w:val="auto"/>
              </w:rPr>
            </w:pPr>
          </w:p>
        </w:tc>
        <w:tc>
          <w:tcPr>
            <w:tcW w:w="520" w:type="dxa"/>
            <w:vAlign w:val="bottom"/>
          </w:tcPr>
          <w:p>
            <w:pPr>
              <w:jc w:val="right"/>
              <w:ind w:right="110"/>
              <w:spacing w:after="0" w:line="199" w:lineRule="exact"/>
              <w:rPr>
                <w:sz w:val="20"/>
                <w:szCs w:val="20"/>
                <w:color w:val="auto"/>
              </w:rPr>
            </w:pPr>
            <w:r>
              <w:rPr>
                <w:rFonts w:ascii="Arial" w:cs="Arial" w:eastAsia="Arial" w:hAnsi="Arial"/>
                <w:sz w:val="18"/>
                <w:szCs w:val="18"/>
                <w:color w:val="202124"/>
              </w:rPr>
              <w:t>50</w:t>
            </w:r>
          </w:p>
        </w:tc>
        <w:tc>
          <w:tcPr>
            <w:tcW w:w="3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80" w:type="dxa"/>
            <w:vAlign w:val="bottom"/>
            <w:gridSpan w:val="20"/>
          </w:tcPr>
          <w:p>
            <w:pPr>
              <w:spacing w:after="0"/>
              <w:rPr>
                <w:sz w:val="20"/>
                <w:szCs w:val="20"/>
                <w:color w:val="auto"/>
              </w:rPr>
            </w:pPr>
            <w:r>
              <w:rPr>
                <w:rFonts w:ascii="Arial" w:cs="Arial" w:eastAsia="Arial" w:hAnsi="Arial"/>
                <w:sz w:val="18"/>
                <w:szCs w:val="18"/>
                <w:b w:val="1"/>
                <w:bCs w:val="1"/>
                <w:color w:val="0000EE"/>
              </w:rPr>
              <w:t>Compensation Program Details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202124"/>
              </w:rPr>
              <w:t>52</w:t>
            </w:r>
          </w:p>
        </w:tc>
        <w:tc>
          <w:tcPr>
            <w:tcW w:w="3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gridSpan w:val="12"/>
            <w:vMerge w:val="restart"/>
          </w:tcPr>
          <w:p>
            <w:pPr>
              <w:spacing w:after="0"/>
              <w:rPr>
                <w:sz w:val="20"/>
                <w:szCs w:val="20"/>
                <w:color w:val="auto"/>
              </w:rPr>
            </w:pPr>
            <w:r>
              <w:rPr>
                <w:rFonts w:ascii="Arial" w:cs="Arial" w:eastAsia="Arial" w:hAnsi="Arial"/>
                <w:sz w:val="18"/>
                <w:szCs w:val="18"/>
                <w:color w:val="0000EE"/>
              </w:rPr>
              <w:t>Base Salary</w:t>
            </w:r>
          </w:p>
        </w:tc>
        <w:tc>
          <w:tcPr>
            <w:tcW w:w="1400" w:type="dxa"/>
            <w:vAlign w:val="bottom"/>
            <w:gridSpan w:val="7"/>
            <w:vMerge w:val="restart"/>
          </w:tcPr>
          <w:p>
            <w:pPr>
              <w:spacing w:after="0" w:line="20" w:lineRule="exact"/>
              <w:rPr>
                <w:sz w:val="1"/>
                <w:szCs w:val="1"/>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52</w:t>
            </w: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2420" w:type="dxa"/>
            <w:vAlign w:val="bottom"/>
            <w:gridSpan w:val="12"/>
            <w:vMerge w:val="continue"/>
          </w:tcPr>
          <w:p>
            <w:pPr>
              <w:spacing w:after="0"/>
              <w:rPr>
                <w:sz w:val="17"/>
                <w:szCs w:val="17"/>
                <w:color w:val="auto"/>
              </w:rPr>
            </w:pPr>
          </w:p>
        </w:tc>
        <w:tc>
          <w:tcPr>
            <w:tcW w:w="1400" w:type="dxa"/>
            <w:vAlign w:val="bottom"/>
            <w:gridSpan w:val="7"/>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760" w:type="dxa"/>
            <w:vAlign w:val="bottom"/>
            <w:vMerge w:val="restart"/>
            <w:shd w:val="clear" w:color="auto" w:fill="000000"/>
          </w:tcPr>
          <w:p>
            <w:pPr>
              <w:ind w:left="1160"/>
              <w:spacing w:after="0"/>
              <w:rPr>
                <w:sz w:val="20"/>
                <w:szCs w:val="20"/>
                <w:color w:val="auto"/>
              </w:rPr>
            </w:pPr>
            <w:r>
              <w:rPr>
                <w:rFonts w:ascii="Arial" w:cs="Arial" w:eastAsia="Arial" w:hAnsi="Arial"/>
                <w:sz w:val="20"/>
                <w:szCs w:val="20"/>
                <w:b w:val="1"/>
                <w:bCs w:val="1"/>
                <w:color w:val="FFFFFF"/>
              </w:rPr>
              <w:t>Named Executive Officers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vMerge w:val="continue"/>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740" w:type="dxa"/>
            <w:vAlign w:val="bottom"/>
            <w:gridSpan w:val="6"/>
            <w:vMerge w:val="restart"/>
          </w:tcPr>
          <w:p>
            <w:pPr>
              <w:spacing w:after="0"/>
              <w:rPr>
                <w:sz w:val="20"/>
                <w:szCs w:val="20"/>
                <w:color w:val="auto"/>
              </w:rPr>
            </w:pPr>
            <w:r>
              <w:rPr>
                <w:rFonts w:ascii="Arial" w:cs="Arial" w:eastAsia="Arial" w:hAnsi="Arial"/>
                <w:sz w:val="18"/>
                <w:szCs w:val="18"/>
                <w:color w:val="0000EE"/>
                <w:w w:val="98"/>
              </w:rPr>
              <w:t>Annual Incentive Plan</w:t>
            </w:r>
          </w:p>
        </w:tc>
        <w:tc>
          <w:tcPr>
            <w:tcW w:w="2080" w:type="dxa"/>
            <w:vAlign w:val="bottom"/>
            <w:gridSpan w:val="13"/>
            <w:vMerge w:val="restart"/>
          </w:tcPr>
          <w:p>
            <w:pPr>
              <w:spacing w:after="0"/>
              <w:rPr>
                <w:sz w:val="17"/>
                <w:szCs w:val="17"/>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53</w:t>
            </w:r>
          </w:p>
        </w:tc>
        <w:tc>
          <w:tcPr>
            <w:tcW w:w="360" w:type="dxa"/>
            <w:vAlign w:val="bottom"/>
          </w:tcPr>
          <w:p>
            <w:pPr>
              <w:spacing w:after="0"/>
              <w:rPr>
                <w:sz w:val="17"/>
                <w:szCs w:val="17"/>
                <w:color w:val="auto"/>
              </w:rPr>
            </w:pPr>
          </w:p>
        </w:tc>
        <w:tc>
          <w:tcPr>
            <w:tcW w:w="4760" w:type="dxa"/>
            <w:vAlign w:val="bottom"/>
            <w:vMerge w:val="continue"/>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60" w:type="dxa"/>
            <w:vAlign w:val="bottom"/>
          </w:tcPr>
          <w:p>
            <w:pPr>
              <w:spacing w:after="0"/>
              <w:rPr>
                <w:sz w:val="5"/>
                <w:szCs w:val="5"/>
                <w:color w:val="auto"/>
              </w:rPr>
            </w:pPr>
          </w:p>
        </w:tc>
        <w:tc>
          <w:tcPr>
            <w:tcW w:w="1740" w:type="dxa"/>
            <w:vAlign w:val="bottom"/>
            <w:tcBorders>
              <w:bottom w:val="single" w:sz="8" w:color="0000EE"/>
            </w:tcBorders>
            <w:gridSpan w:val="6"/>
            <w:vMerge w:val="continue"/>
          </w:tcPr>
          <w:p>
            <w:pPr>
              <w:spacing w:after="0"/>
              <w:rPr>
                <w:sz w:val="5"/>
                <w:szCs w:val="5"/>
                <w:color w:val="auto"/>
              </w:rPr>
            </w:pPr>
          </w:p>
        </w:tc>
        <w:tc>
          <w:tcPr>
            <w:tcW w:w="2080" w:type="dxa"/>
            <w:vAlign w:val="bottom"/>
            <w:gridSpan w:val="1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76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60" w:type="dxa"/>
            <w:vAlign w:val="bottom"/>
          </w:tcPr>
          <w:p>
            <w:pPr>
              <w:spacing w:after="0"/>
              <w:rPr>
                <w:sz w:val="5"/>
                <w:szCs w:val="5"/>
                <w:color w:val="auto"/>
              </w:rPr>
            </w:pPr>
          </w:p>
        </w:tc>
        <w:tc>
          <w:tcPr>
            <w:tcW w:w="2080" w:type="dxa"/>
            <w:vAlign w:val="bottom"/>
            <w:gridSpan w:val="8"/>
            <w:vMerge w:val="restart"/>
          </w:tcPr>
          <w:p>
            <w:pPr>
              <w:spacing w:after="0"/>
              <w:rPr>
                <w:sz w:val="20"/>
                <w:szCs w:val="20"/>
                <w:color w:val="auto"/>
              </w:rPr>
            </w:pPr>
            <w:r>
              <w:rPr>
                <w:rFonts w:ascii="Arial" w:cs="Arial" w:eastAsia="Arial" w:hAnsi="Arial"/>
                <w:sz w:val="18"/>
                <w:szCs w:val="18"/>
                <w:color w:val="0000EE"/>
                <w:w w:val="98"/>
              </w:rPr>
              <w:t>Long-Term Incentive Plan</w:t>
            </w:r>
          </w:p>
        </w:tc>
        <w:tc>
          <w:tcPr>
            <w:tcW w:w="1740" w:type="dxa"/>
            <w:vAlign w:val="bottom"/>
            <w:gridSpan w:val="11"/>
            <w:vMerge w:val="restart"/>
          </w:tcPr>
          <w:p>
            <w:pPr>
              <w:spacing w:after="0"/>
              <w:rPr>
                <w:sz w:val="5"/>
                <w:szCs w:val="5"/>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202124"/>
              </w:rPr>
              <w:t>55</w:t>
            </w:r>
          </w:p>
        </w:tc>
        <w:tc>
          <w:tcPr>
            <w:tcW w:w="360" w:type="dxa"/>
            <w:vAlign w:val="bottom"/>
          </w:tcPr>
          <w:p>
            <w:pPr>
              <w:spacing w:after="0"/>
              <w:rPr>
                <w:sz w:val="5"/>
                <w:szCs w:val="5"/>
                <w:color w:val="auto"/>
              </w:rPr>
            </w:pPr>
          </w:p>
        </w:tc>
        <w:tc>
          <w:tcPr>
            <w:tcW w:w="47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7"/>
                <w:szCs w:val="17"/>
                <w:color w:val="auto"/>
              </w:rPr>
            </w:pPr>
          </w:p>
        </w:tc>
        <w:tc>
          <w:tcPr>
            <w:tcW w:w="2080" w:type="dxa"/>
            <w:vAlign w:val="bottom"/>
            <w:tcBorders>
              <w:bottom w:val="single" w:sz="8" w:color="0000EE"/>
            </w:tcBorders>
            <w:gridSpan w:val="8"/>
            <w:vMerge w:val="continue"/>
          </w:tcPr>
          <w:p>
            <w:pPr>
              <w:spacing w:after="0"/>
              <w:rPr>
                <w:sz w:val="17"/>
                <w:szCs w:val="17"/>
                <w:color w:val="auto"/>
              </w:rPr>
            </w:pPr>
          </w:p>
        </w:tc>
        <w:tc>
          <w:tcPr>
            <w:tcW w:w="1740" w:type="dxa"/>
            <w:vAlign w:val="bottom"/>
            <w:gridSpan w:val="11"/>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820" w:type="dxa"/>
            <w:vAlign w:val="bottom"/>
            <w:gridSpan w:val="19"/>
          </w:tcPr>
          <w:p>
            <w:pPr>
              <w:spacing w:after="0"/>
              <w:rPr>
                <w:sz w:val="20"/>
                <w:szCs w:val="20"/>
                <w:color w:val="auto"/>
              </w:rPr>
            </w:pPr>
            <w:r>
              <w:rPr>
                <w:rFonts w:ascii="Arial" w:cs="Arial" w:eastAsia="Arial" w:hAnsi="Arial"/>
                <w:sz w:val="18"/>
                <w:szCs w:val="18"/>
                <w:color w:val="0000EE"/>
              </w:rPr>
              <w:t>One-Time Special Awards</w:t>
            </w:r>
          </w:p>
        </w:tc>
        <w:tc>
          <w:tcPr>
            <w:tcW w:w="520" w:type="dxa"/>
            <w:vAlign w:val="bottom"/>
          </w:tcPr>
          <w:p>
            <w:pPr>
              <w:jc w:val="right"/>
              <w:ind w:right="110"/>
              <w:spacing w:after="0"/>
              <w:rPr>
                <w:sz w:val="20"/>
                <w:szCs w:val="20"/>
                <w:color w:val="auto"/>
              </w:rPr>
            </w:pPr>
            <w:r>
              <w:rPr>
                <w:rFonts w:ascii="Arial" w:cs="Arial" w:eastAsia="Arial" w:hAnsi="Arial"/>
                <w:sz w:val="18"/>
                <w:szCs w:val="18"/>
                <w:color w:val="202124"/>
              </w:rPr>
              <w:t>57</w:t>
            </w:r>
          </w:p>
        </w:tc>
        <w:tc>
          <w:tcPr>
            <w:tcW w:w="5120" w:type="dxa"/>
            <w:vAlign w:val="bottom"/>
            <w:gridSpan w:val="2"/>
          </w:tcPr>
          <w:p>
            <w:pPr>
              <w:ind w:left="360"/>
              <w:spacing w:after="0"/>
              <w:rPr>
                <w:sz w:val="20"/>
                <w:szCs w:val="20"/>
                <w:color w:val="auto"/>
              </w:rPr>
            </w:pPr>
            <w:r>
              <w:rPr>
                <w:rFonts w:ascii="Arial" w:cs="Arial" w:eastAsia="Arial" w:hAnsi="Arial"/>
                <w:sz w:val="18"/>
                <w:szCs w:val="18"/>
                <w:b w:val="1"/>
                <w:bCs w:val="1"/>
                <w:color w:val="F37F00"/>
              </w:rPr>
              <w:t>PHILIP B. DANIELE, III</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color w:val="202124"/>
              </w:rPr>
              <w:t>President and Chief Executive Officer</w:t>
            </w:r>
          </w:p>
        </w:tc>
        <w:tc>
          <w:tcPr>
            <w:tcW w:w="0" w:type="dxa"/>
            <w:vAlign w:val="bottom"/>
          </w:tcPr>
          <w:p>
            <w:pPr>
              <w:spacing w:after="0" w:line="20" w:lineRule="exact"/>
              <w:rPr>
                <w:sz w:val="1"/>
                <w:szCs w:val="1"/>
                <w:color w:val="auto"/>
              </w:rPr>
            </w:pPr>
          </w:p>
        </w:tc>
      </w:tr>
      <w:tr>
        <w:trPr>
          <w:trHeight w:val="212"/>
        </w:trPr>
        <w:tc>
          <w:tcPr>
            <w:tcW w:w="260" w:type="dxa"/>
            <w:vAlign w:val="bottom"/>
          </w:tcPr>
          <w:p>
            <w:pPr>
              <w:spacing w:after="0"/>
              <w:rPr>
                <w:sz w:val="18"/>
                <w:szCs w:val="18"/>
                <w:color w:val="auto"/>
              </w:rPr>
            </w:pPr>
          </w:p>
        </w:tc>
        <w:tc>
          <w:tcPr>
            <w:tcW w:w="3020" w:type="dxa"/>
            <w:vAlign w:val="bottom"/>
            <w:gridSpan w:val="17"/>
            <w:vMerge w:val="restart"/>
          </w:tcPr>
          <w:p>
            <w:pPr>
              <w:spacing w:after="0"/>
              <w:rPr>
                <w:sz w:val="20"/>
                <w:szCs w:val="20"/>
                <w:color w:val="auto"/>
              </w:rPr>
            </w:pPr>
            <w:r>
              <w:rPr>
                <w:rFonts w:ascii="Arial" w:cs="Arial" w:eastAsia="Arial" w:hAnsi="Arial"/>
                <w:sz w:val="18"/>
                <w:szCs w:val="18"/>
                <w:color w:val="0000EE"/>
                <w:w w:val="98"/>
              </w:rPr>
              <w:t>Other Practices, Policies &amp; Guidelines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58</w:t>
            </w:r>
          </w:p>
        </w:tc>
        <w:tc>
          <w:tcPr>
            <w:tcW w:w="5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60" w:type="dxa"/>
            <w:vAlign w:val="bottom"/>
          </w:tcPr>
          <w:p>
            <w:pPr>
              <w:spacing w:after="0"/>
              <w:rPr>
                <w:sz w:val="5"/>
                <w:szCs w:val="5"/>
                <w:color w:val="auto"/>
              </w:rPr>
            </w:pPr>
          </w:p>
        </w:tc>
        <w:tc>
          <w:tcPr>
            <w:tcW w:w="3020" w:type="dxa"/>
            <w:vAlign w:val="bottom"/>
            <w:tcBorders>
              <w:bottom w:val="single" w:sz="8" w:color="0000EE"/>
            </w:tcBorders>
            <w:gridSpan w:val="17"/>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F37F00"/>
              </w:rPr>
              <w:t>JAMERE JACKSON</w:t>
            </w:r>
          </w:p>
        </w:tc>
        <w:tc>
          <w:tcPr>
            <w:tcW w:w="0" w:type="dxa"/>
            <w:vAlign w:val="bottom"/>
          </w:tcPr>
          <w:p>
            <w:pPr>
              <w:spacing w:after="0"/>
              <w:rPr>
                <w:sz w:val="1"/>
                <w:szCs w:val="1"/>
                <w:color w:val="auto"/>
              </w:rPr>
            </w:pPr>
          </w:p>
        </w:tc>
      </w:tr>
      <w:tr>
        <w:trPr>
          <w:trHeight w:val="177"/>
        </w:trPr>
        <w:tc>
          <w:tcPr>
            <w:tcW w:w="2640" w:type="dxa"/>
            <w:vAlign w:val="bottom"/>
            <w:gridSpan w:val="12"/>
            <w:vMerge w:val="restart"/>
          </w:tcPr>
          <w:p>
            <w:pPr>
              <w:spacing w:after="0"/>
              <w:rPr>
                <w:sz w:val="20"/>
                <w:szCs w:val="20"/>
                <w:color w:val="auto"/>
              </w:rPr>
            </w:pPr>
            <w:r>
              <w:rPr>
                <w:rFonts w:ascii="Arial" w:cs="Arial" w:eastAsia="Arial" w:hAnsi="Arial"/>
                <w:sz w:val="18"/>
                <w:szCs w:val="18"/>
                <w:b w:val="1"/>
                <w:bCs w:val="1"/>
                <w:color w:val="0000EE"/>
                <w:w w:val="99"/>
              </w:rPr>
              <w:t>Summary Compensation Table</w:t>
            </w:r>
          </w:p>
        </w:tc>
        <w:tc>
          <w:tcPr>
            <w:tcW w:w="1440" w:type="dxa"/>
            <w:vAlign w:val="bottom"/>
            <w:gridSpan w:val="8"/>
            <w:vMerge w:val="restart"/>
          </w:tcPr>
          <w:p>
            <w:pPr>
              <w:spacing w:after="0"/>
              <w:rPr>
                <w:sz w:val="15"/>
                <w:szCs w:val="15"/>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62</w:t>
            </w:r>
          </w:p>
        </w:tc>
        <w:tc>
          <w:tcPr>
            <w:tcW w:w="5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640" w:type="dxa"/>
            <w:vAlign w:val="bottom"/>
            <w:tcBorders>
              <w:bottom w:val="single" w:sz="8" w:color="0000EE"/>
            </w:tcBorders>
            <w:gridSpan w:val="12"/>
            <w:vMerge w:val="continue"/>
          </w:tcPr>
          <w:p>
            <w:pPr>
              <w:spacing w:after="0"/>
              <w:rPr>
                <w:sz w:val="7"/>
                <w:szCs w:val="7"/>
                <w:color w:val="auto"/>
              </w:rPr>
            </w:pPr>
          </w:p>
        </w:tc>
        <w:tc>
          <w:tcPr>
            <w:tcW w:w="1440" w:type="dxa"/>
            <w:vAlign w:val="bottom"/>
            <w:gridSpan w:val="8"/>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color w:val="202124"/>
              </w:rPr>
              <w:t>Chief Financial Officer</w:t>
            </w:r>
          </w:p>
        </w:tc>
        <w:tc>
          <w:tcPr>
            <w:tcW w:w="0" w:type="dxa"/>
            <w:vAlign w:val="bottom"/>
          </w:tcPr>
          <w:p>
            <w:pPr>
              <w:spacing w:after="0"/>
              <w:rPr>
                <w:sz w:val="1"/>
                <w:szCs w:val="1"/>
                <w:color w:val="auto"/>
              </w:rPr>
            </w:pPr>
          </w:p>
        </w:tc>
      </w:tr>
      <w:tr>
        <w:trPr>
          <w:trHeight w:val="132"/>
        </w:trPr>
        <w:tc>
          <w:tcPr>
            <w:tcW w:w="2540" w:type="dxa"/>
            <w:vAlign w:val="bottom"/>
            <w:gridSpan w:val="11"/>
            <w:vMerge w:val="restart"/>
          </w:tcPr>
          <w:p>
            <w:pPr>
              <w:spacing w:after="0"/>
              <w:rPr>
                <w:sz w:val="20"/>
                <w:szCs w:val="20"/>
                <w:color w:val="auto"/>
              </w:rPr>
            </w:pPr>
            <w:r>
              <w:rPr>
                <w:rFonts w:ascii="Arial" w:cs="Arial" w:eastAsia="Arial" w:hAnsi="Arial"/>
                <w:sz w:val="18"/>
                <w:szCs w:val="18"/>
                <w:b w:val="1"/>
                <w:bCs w:val="1"/>
                <w:color w:val="0000EE"/>
                <w:w w:val="99"/>
              </w:rPr>
              <w:t>Grants of Plan-Based Awards</w:t>
            </w:r>
          </w:p>
        </w:tc>
        <w:tc>
          <w:tcPr>
            <w:tcW w:w="1540" w:type="dxa"/>
            <w:vAlign w:val="bottom"/>
            <w:gridSpan w:val="9"/>
            <w:vMerge w:val="restart"/>
          </w:tcPr>
          <w:p>
            <w:pPr>
              <w:spacing w:after="0"/>
              <w:rPr>
                <w:sz w:val="11"/>
                <w:szCs w:val="11"/>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63</w:t>
            </w:r>
          </w:p>
        </w:tc>
        <w:tc>
          <w:tcPr>
            <w:tcW w:w="5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40" w:type="dxa"/>
            <w:vAlign w:val="bottom"/>
            <w:tcBorders>
              <w:bottom w:val="single" w:sz="8" w:color="0000EE"/>
            </w:tcBorders>
            <w:gridSpan w:val="11"/>
            <w:vMerge w:val="continue"/>
          </w:tcPr>
          <w:p>
            <w:pPr>
              <w:spacing w:after="0"/>
              <w:rPr>
                <w:sz w:val="7"/>
                <w:szCs w:val="7"/>
                <w:color w:val="auto"/>
              </w:rPr>
            </w:pPr>
          </w:p>
        </w:tc>
        <w:tc>
          <w:tcPr>
            <w:tcW w:w="1540" w:type="dxa"/>
            <w:vAlign w:val="bottom"/>
            <w:gridSpan w:val="9"/>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F37F00"/>
              </w:rPr>
              <w:t>THOMAS B. NEWBERN</w:t>
            </w:r>
          </w:p>
        </w:tc>
        <w:tc>
          <w:tcPr>
            <w:tcW w:w="0" w:type="dxa"/>
            <w:vAlign w:val="bottom"/>
          </w:tcPr>
          <w:p>
            <w:pPr>
              <w:spacing w:after="0"/>
              <w:rPr>
                <w:sz w:val="1"/>
                <w:szCs w:val="1"/>
                <w:color w:val="auto"/>
              </w:rPr>
            </w:pPr>
          </w:p>
        </w:tc>
      </w:tr>
      <w:tr>
        <w:trPr>
          <w:trHeight w:val="164"/>
        </w:trPr>
        <w:tc>
          <w:tcPr>
            <w:tcW w:w="3960" w:type="dxa"/>
            <w:vAlign w:val="bottom"/>
            <w:gridSpan w:val="19"/>
            <w:vMerge w:val="restart"/>
          </w:tcPr>
          <w:p>
            <w:pPr>
              <w:spacing w:after="0"/>
              <w:rPr>
                <w:sz w:val="20"/>
                <w:szCs w:val="20"/>
                <w:color w:val="auto"/>
              </w:rPr>
            </w:pPr>
            <w:r>
              <w:rPr>
                <w:rFonts w:ascii="Arial" w:cs="Arial" w:eastAsia="Arial" w:hAnsi="Arial"/>
                <w:sz w:val="18"/>
                <w:szCs w:val="18"/>
                <w:b w:val="1"/>
                <w:bCs w:val="1"/>
                <w:color w:val="0000EE"/>
                <w:w w:val="99"/>
              </w:rPr>
              <w:t>Outstanding Equity Awards at Fiscal Year-End</w:t>
            </w:r>
          </w:p>
        </w:tc>
        <w:tc>
          <w:tcPr>
            <w:tcW w:w="120" w:type="dxa"/>
            <w:vAlign w:val="bottom"/>
            <w:vMerge w:val="restart"/>
          </w:tcPr>
          <w:p>
            <w:pPr>
              <w:spacing w:after="0"/>
              <w:rPr>
                <w:sz w:val="14"/>
                <w:szCs w:val="14"/>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64</w:t>
            </w: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960" w:type="dxa"/>
            <w:vAlign w:val="bottom"/>
            <w:tcBorders>
              <w:bottom w:val="single" w:sz="8" w:color="0000EE"/>
            </w:tcBorders>
            <w:gridSpan w:val="19"/>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color w:val="202124"/>
              </w:rPr>
              <w:t>Chief Operating Officer</w:t>
            </w:r>
          </w:p>
        </w:tc>
        <w:tc>
          <w:tcPr>
            <w:tcW w:w="0" w:type="dxa"/>
            <w:vAlign w:val="bottom"/>
          </w:tcPr>
          <w:p>
            <w:pPr>
              <w:spacing w:after="0"/>
              <w:rPr>
                <w:sz w:val="1"/>
                <w:szCs w:val="1"/>
                <w:color w:val="auto"/>
              </w:rPr>
            </w:pPr>
          </w:p>
        </w:tc>
      </w:tr>
      <w:tr>
        <w:trPr>
          <w:trHeight w:val="159"/>
        </w:trPr>
        <w:tc>
          <w:tcPr>
            <w:tcW w:w="3020" w:type="dxa"/>
            <w:vAlign w:val="bottom"/>
            <w:gridSpan w:val="16"/>
            <w:vMerge w:val="restart"/>
          </w:tcPr>
          <w:p>
            <w:pPr>
              <w:spacing w:after="0"/>
              <w:rPr>
                <w:sz w:val="20"/>
                <w:szCs w:val="20"/>
                <w:color w:val="auto"/>
              </w:rPr>
            </w:pPr>
            <w:r>
              <w:rPr>
                <w:rFonts w:ascii="Arial" w:cs="Arial" w:eastAsia="Arial" w:hAnsi="Arial"/>
                <w:sz w:val="18"/>
                <w:szCs w:val="18"/>
                <w:b w:val="1"/>
                <w:bCs w:val="1"/>
                <w:color w:val="0000EE"/>
                <w:w w:val="99"/>
              </w:rPr>
              <w:t>Option Exercises and Stock Vested</w:t>
            </w:r>
          </w:p>
        </w:tc>
        <w:tc>
          <w:tcPr>
            <w:tcW w:w="1060" w:type="dxa"/>
            <w:vAlign w:val="bottom"/>
            <w:gridSpan w:val="4"/>
            <w:vMerge w:val="restart"/>
          </w:tcPr>
          <w:p>
            <w:pPr>
              <w:spacing w:after="0"/>
              <w:rPr>
                <w:sz w:val="13"/>
                <w:szCs w:val="13"/>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02124"/>
              </w:rPr>
              <w:t>65</w:t>
            </w:r>
          </w:p>
        </w:tc>
        <w:tc>
          <w:tcPr>
            <w:tcW w:w="5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020" w:type="dxa"/>
            <w:vAlign w:val="bottom"/>
            <w:tcBorders>
              <w:bottom w:val="single" w:sz="8" w:color="0000EE"/>
            </w:tcBorders>
            <w:gridSpan w:val="16"/>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1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F37F00"/>
              </w:rPr>
              <w:t>ERIC S. GOULD</w:t>
            </w:r>
          </w:p>
        </w:tc>
        <w:tc>
          <w:tcPr>
            <w:tcW w:w="0" w:type="dxa"/>
            <w:vAlign w:val="bottom"/>
          </w:tcPr>
          <w:p>
            <w:pPr>
              <w:spacing w:after="0"/>
              <w:rPr>
                <w:sz w:val="1"/>
                <w:szCs w:val="1"/>
                <w:color w:val="auto"/>
              </w:rPr>
            </w:pPr>
          </w:p>
        </w:tc>
      </w:tr>
      <w:tr>
        <w:trPr>
          <w:trHeight w:val="275"/>
        </w:trPr>
        <w:tc>
          <w:tcPr>
            <w:tcW w:w="4080" w:type="dxa"/>
            <w:vAlign w:val="bottom"/>
            <w:gridSpan w:val="20"/>
          </w:tcPr>
          <w:p>
            <w:pPr>
              <w:spacing w:after="0"/>
              <w:rPr>
                <w:sz w:val="20"/>
                <w:szCs w:val="20"/>
                <w:color w:val="auto"/>
              </w:rPr>
            </w:pPr>
            <w:r>
              <w:rPr>
                <w:rFonts w:ascii="Arial" w:cs="Arial" w:eastAsia="Arial" w:hAnsi="Arial"/>
                <w:sz w:val="18"/>
                <w:szCs w:val="18"/>
                <w:b w:val="1"/>
                <w:bCs w:val="1"/>
                <w:u w:val="single" w:color="auto"/>
                <w:color w:val="0000EE"/>
              </w:rPr>
              <w:t>Nonqualified Deferred Compensation</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202124"/>
              </w:rPr>
              <w:t>65</w:t>
            </w:r>
          </w:p>
        </w:tc>
        <w:tc>
          <w:tcPr>
            <w:tcW w:w="5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360"/>
          </w:cols>
          <w:pgMar w:left="440" w:top="106" w:right="1099" w:bottom="1440" w:gutter="0" w:footer="0" w:header="0"/>
        </w:sectPr>
      </w:pPr>
    </w:p>
    <w:p>
      <w:pPr>
        <w:ind w:left="5600"/>
        <w:spacing w:after="0" w:line="189" w:lineRule="auto"/>
        <w:rPr>
          <w:sz w:val="20"/>
          <w:szCs w:val="20"/>
          <w:color w:val="auto"/>
        </w:rPr>
      </w:pPr>
      <w:r>
        <w:rPr>
          <w:rFonts w:ascii="Arial" w:cs="Arial" w:eastAsia="Arial" w:hAnsi="Arial"/>
          <w:sz w:val="17"/>
          <w:szCs w:val="17"/>
          <w:color w:val="202124"/>
        </w:rPr>
        <w:t>Executive Vice President, Merchandising, Marketing and</w:t>
      </w:r>
    </w:p>
    <w:p>
      <w:pPr>
        <w:sectPr>
          <w:pgSz w:w="11900" w:h="16838" w:orient="portrait"/>
          <w:cols w:equalWidth="0" w:num="1">
            <w:col w:w="10360"/>
          </w:cols>
          <w:pgMar w:left="440" w:top="106" w:right="1099" w:bottom="1440" w:gutter="0" w:footer="0" w:header="0"/>
          <w:type w:val="continuous"/>
        </w:sect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F37F00"/>
        </w:rPr>
        <w:t>KENNETH E. JAYCOX, JR.</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202124"/>
        </w:rPr>
        <w:t>Senior Vice President,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40   </w:t>
      </w:r>
      <w:r>
        <w:rPr>
          <w:sz w:val="1"/>
          <w:szCs w:val="1"/>
          <w:color w:val="auto"/>
        </w:rPr>
        <w:drawing>
          <wp:inline distT="0" distB="0" distL="0" distR="0">
            <wp:extent cx="116586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Executive Summary</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FY26 YEAR-IN-REVIEW</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Throughout our history, we have successfully navigated volatility and challenges while consistently delivering strong</w:t>
      </w:r>
    </w:p>
    <w:p>
      <w:pPr>
        <w:spacing w:after="0" w:line="14" w:lineRule="exact"/>
        <w:rPr>
          <w:sz w:val="20"/>
          <w:szCs w:val="20"/>
          <w:color w:val="auto"/>
        </w:rPr>
      </w:pPr>
    </w:p>
    <w:p>
      <w:pPr>
        <w:ind w:left="640" w:right="80"/>
        <w:spacing w:after="0"/>
        <w:rPr>
          <w:sz w:val="20"/>
          <w:szCs w:val="20"/>
          <w:color w:val="auto"/>
        </w:rPr>
      </w:pPr>
      <w:r>
        <w:rPr>
          <w:rFonts w:ascii="Arial" w:cs="Arial" w:eastAsia="Arial" w:hAnsi="Arial"/>
          <w:sz w:val="17"/>
          <w:szCs w:val="17"/>
          <w:color w:val="202124"/>
        </w:rPr>
        <w:t xml:space="preserve">results. In 2026, we built on our foundation of operational excellence and customer service by accelerating our top-line growth strategy, while maintaining our strong commitment to stockholder value. In line with this year’s theme, </w:t>
      </w:r>
      <w:r>
        <w:rPr>
          <w:rFonts w:ascii="Arial" w:cs="Arial" w:eastAsia="Arial" w:hAnsi="Arial"/>
          <w:sz w:val="17"/>
          <w:szCs w:val="17"/>
          <w:b w:val="1"/>
          <w:bCs w:val="1"/>
          <w:i w:val="1"/>
          <w:iCs w:val="1"/>
          <w:color w:val="202124"/>
        </w:rPr>
        <w:t>Driving the</w:t>
      </w:r>
    </w:p>
    <w:p>
      <w:pPr>
        <w:spacing w:after="0" w:line="1" w:lineRule="exact"/>
        <w:rPr>
          <w:sz w:val="20"/>
          <w:szCs w:val="20"/>
          <w:color w:val="auto"/>
        </w:rPr>
      </w:pPr>
    </w:p>
    <w:p>
      <w:pPr>
        <w:ind w:left="640" w:right="140"/>
        <w:spacing w:after="0" w:line="250" w:lineRule="auto"/>
        <w:rPr>
          <w:sz w:val="20"/>
          <w:szCs w:val="20"/>
          <w:color w:val="auto"/>
        </w:rPr>
      </w:pPr>
      <w:r>
        <w:rPr>
          <w:rFonts w:ascii="Arial" w:cs="Arial" w:eastAsia="Arial" w:hAnsi="Arial"/>
          <w:sz w:val="18"/>
          <w:szCs w:val="18"/>
          <w:b w:val="1"/>
          <w:bCs w:val="1"/>
          <w:i w:val="1"/>
          <w:iCs w:val="1"/>
          <w:color w:val="202124"/>
        </w:rPr>
        <w:t xml:space="preserve">Future Together, </w:t>
      </w:r>
      <w:r>
        <w:rPr>
          <w:rFonts w:ascii="Arial" w:cs="Arial" w:eastAsia="Arial" w:hAnsi="Arial"/>
          <w:sz w:val="18"/>
          <w:szCs w:val="18"/>
          <w:color w:val="202124"/>
        </w:rPr>
        <w:t>we have made significant investments not only in our stores, supply chain, and information technology</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but also in training our AutoZoners to continue to deliver best-in-class customer service.</w:t>
      </w:r>
    </w:p>
    <w:p>
      <w:pPr>
        <w:spacing w:after="0" w:line="50" w:lineRule="exact"/>
        <w:rPr>
          <w:sz w:val="20"/>
          <w:szCs w:val="20"/>
          <w:color w:val="auto"/>
        </w:rPr>
      </w:pPr>
    </w:p>
    <w:p>
      <w:pPr>
        <w:ind w:left="640" w:right="4460"/>
        <w:spacing w:after="0" w:line="237" w:lineRule="auto"/>
        <w:rPr>
          <w:sz w:val="20"/>
          <w:szCs w:val="20"/>
          <w:color w:val="auto"/>
        </w:rPr>
      </w:pPr>
      <w:r>
        <w:rPr>
          <w:rFonts w:ascii="Arial" w:cs="Arial" w:eastAsia="Arial" w:hAnsi="Arial"/>
          <w:sz w:val="18"/>
          <w:szCs w:val="18"/>
          <w:b w:val="1"/>
          <w:bCs w:val="1"/>
          <w:color w:val="202124"/>
        </w:rPr>
        <w:t xml:space="preserve">In FY26, we laid the foundation for future strategic growth by accelerating our new store openings both domestically and internationally. </w:t>
      </w:r>
      <w:r>
        <w:rPr>
          <w:rFonts w:ascii="Arial" w:cs="Arial" w:eastAsia="Arial" w:hAnsi="Arial"/>
          <w:sz w:val="18"/>
          <w:szCs w:val="18"/>
          <w:color w:val="202124"/>
        </w:rPr>
        <w:t>By the end of this year, we reached 8,031 stores</w:t>
      </w:r>
      <w:r>
        <w:rPr>
          <w:rFonts w:ascii="Arial" w:cs="Arial" w:eastAsia="Arial" w:hAnsi="Arial"/>
          <w:sz w:val="18"/>
          <w:szCs w:val="18"/>
          <w:b w:val="1"/>
          <w:bCs w:val="1"/>
          <w:color w:val="202124"/>
        </w:rPr>
        <w:t xml:space="preserve"> </w:t>
      </w:r>
      <w:r>
        <w:rPr>
          <w:rFonts w:ascii="Arial" w:cs="Arial" w:eastAsia="Arial" w:hAnsi="Arial"/>
          <w:sz w:val="18"/>
          <w:szCs w:val="18"/>
          <w:color w:val="202124"/>
        </w:rPr>
        <w:t>globally, up from 7,657 last year. We opened 374 new stores, compared to 304 net new stores in 2025. We accelerated our new store growth by 23% expanding our store count by 4.9%, up from 4.1% last year. Additionally, we successfully opened 39 new</w:t>
      </w:r>
    </w:p>
    <w:p>
      <w:pPr>
        <w:spacing w:after="0" w:line="5" w:lineRule="exact"/>
        <w:rPr>
          <w:sz w:val="20"/>
          <w:szCs w:val="20"/>
          <w:color w:val="auto"/>
        </w:rPr>
      </w:pPr>
    </w:p>
    <w:p>
      <w:pPr>
        <w:ind w:left="640" w:right="1660"/>
        <w:spacing w:after="0" w:line="234" w:lineRule="auto"/>
        <w:rPr>
          <w:sz w:val="20"/>
          <w:szCs w:val="20"/>
          <w:color w:val="auto"/>
        </w:rPr>
      </w:pPr>
      <w:r>
        <w:rPr>
          <w:rFonts w:ascii="Arial" w:cs="Arial" w:eastAsia="Arial" w:hAnsi="Arial"/>
          <w:sz w:val="18"/>
          <w:szCs w:val="18"/>
          <w:color w:val="202124"/>
        </w:rPr>
        <w:t xml:space="preserve">domestic Mega Hubs, bringing the total to 172. We also invested in </w:t>
      </w:r>
      <w:r>
        <w:rPr>
          <w:rFonts w:ascii="Arial" w:cs="Arial" w:eastAsia="Arial" w:hAnsi="Arial"/>
          <w:sz w:val="18"/>
          <w:szCs w:val="18"/>
          <w:b w:val="1"/>
          <w:bCs w:val="1"/>
          <w:color w:val="202124"/>
        </w:rPr>
        <w:t>Diluted EPS</w:t>
      </w:r>
      <w:r>
        <w:rPr>
          <w:rFonts w:ascii="Arial" w:cs="Arial" w:eastAsia="Arial" w:hAnsi="Arial"/>
          <w:sz w:val="18"/>
          <w:szCs w:val="18"/>
          <w:color w:val="202124"/>
        </w:rPr>
        <w:t xml:space="preserve"> our global systems across both Do It Yourself (DIY) and Do It For</w:t>
      </w:r>
    </w:p>
    <w:p>
      <w:pPr>
        <w:spacing w:after="0" w:line="1" w:lineRule="exact"/>
        <w:rPr>
          <w:sz w:val="20"/>
          <w:szCs w:val="20"/>
          <w:color w:val="auto"/>
        </w:rPr>
      </w:pPr>
    </w:p>
    <w:p>
      <w:pPr>
        <w:ind w:left="640" w:right="4440"/>
        <w:spacing w:after="0" w:line="250" w:lineRule="auto"/>
        <w:rPr>
          <w:sz w:val="20"/>
          <w:szCs w:val="20"/>
          <w:color w:val="auto"/>
        </w:rPr>
      </w:pPr>
      <w:r>
        <w:rPr>
          <w:rFonts w:ascii="Arial" w:cs="Arial" w:eastAsia="Arial" w:hAnsi="Arial"/>
          <w:sz w:val="18"/>
          <w:szCs w:val="18"/>
          <w:color w:val="202124"/>
        </w:rPr>
        <w:t>Me (DIFM). Our improvements in DIFM delivery speed are already making a noticeable impact.</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5600" w:type="dxa"/>
            <w:vAlign w:val="bottom"/>
          </w:tcPr>
          <w:p>
            <w:pPr>
              <w:spacing w:after="0"/>
              <w:rPr>
                <w:sz w:val="20"/>
                <w:szCs w:val="20"/>
                <w:color w:val="auto"/>
              </w:rPr>
            </w:pPr>
            <w:r>
              <w:rPr>
                <w:rFonts w:ascii="Arial" w:cs="Arial" w:eastAsia="Arial" w:hAnsi="Arial"/>
                <w:sz w:val="18"/>
                <w:szCs w:val="18"/>
                <w:b w:val="1"/>
                <w:bCs w:val="1"/>
                <w:color w:val="202124"/>
              </w:rPr>
              <w:t>Based on information available to us, we gained market share</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b w:val="1"/>
                <w:bCs w:val="1"/>
                <w:color w:val="202124"/>
              </w:rPr>
              <w:t>while delivering mid-single-digit sales growth, including</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b w:val="1"/>
                <w:bCs w:val="1"/>
                <w:color w:val="202124"/>
              </w:rPr>
              <w:t>double-digit growth in our domestic commercial business.</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With the expansion of our Mega Hubs, we have significantly</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increased inventory coverage, allowing us to say “yes” to our</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customers more often than ever before. We have achieved this</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20"/>
                <w:szCs w:val="20"/>
                <w:color w:val="auto"/>
              </w:rPr>
            </w:pPr>
            <w:r>
              <w:rPr>
                <w:rFonts w:ascii="Arial" w:cs="Arial" w:eastAsia="Arial" w:hAnsi="Arial"/>
                <w:sz w:val="18"/>
                <w:szCs w:val="18"/>
                <w:color w:val="202124"/>
              </w:rPr>
              <w:t>while also building upon our exceptional prior year performance by</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600" w:type="dxa"/>
            <w:vAlign w:val="bottom"/>
            <w:vMerge w:val="restart"/>
          </w:tcPr>
          <w:p>
            <w:pPr>
              <w:spacing w:after="0" w:line="197" w:lineRule="exact"/>
              <w:rPr>
                <w:sz w:val="20"/>
                <w:szCs w:val="20"/>
                <w:color w:val="auto"/>
              </w:rPr>
            </w:pPr>
            <w:r>
              <w:rPr>
                <w:rFonts w:ascii="Arial" w:cs="Arial" w:eastAsia="Arial" w:hAnsi="Arial"/>
                <w:sz w:val="18"/>
                <w:szCs w:val="18"/>
                <w:color w:val="202124"/>
              </w:rPr>
              <w:t>delivering $20.3 billion in sales, domestic same store sales growth</w:t>
            </w:r>
          </w:p>
        </w:tc>
        <w:tc>
          <w:tcPr>
            <w:tcW w:w="39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600" w:type="dxa"/>
            <w:vAlign w:val="bottom"/>
            <w:vMerge w:val="continue"/>
          </w:tcPr>
          <w:p>
            <w:pPr>
              <w:spacing w:after="0"/>
              <w:rPr>
                <w:sz w:val="5"/>
                <w:szCs w:val="5"/>
                <w:color w:val="auto"/>
              </w:rPr>
            </w:pPr>
          </w:p>
        </w:tc>
        <w:tc>
          <w:tcPr>
            <w:tcW w:w="3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of 3.3%, international same store sales growth (on a constant</w:t>
            </w: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rPr>
              <w:t>Earnings Before Interest and Taxes</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currency basis) of 2.2% and total company same store sales</w:t>
            </w: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rPr>
              <w:t>and Return on Invested Capital</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growth (on a constant currency basis*) of 3.2%. Our EBIT and</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EPS were positivity impacted by foreign currency exchange rates</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in our international markets and tariff refunds, offset by an</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unfavorable net non-cash Last In, First Out (“LIFO”) accounting</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00" w:type="dxa"/>
            <w:vAlign w:val="bottom"/>
          </w:tcPr>
          <w:p>
            <w:pPr>
              <w:spacing w:after="0"/>
              <w:rPr>
                <w:sz w:val="20"/>
                <w:szCs w:val="20"/>
                <w:color w:val="auto"/>
              </w:rPr>
            </w:pPr>
            <w:r>
              <w:rPr>
                <w:rFonts w:ascii="Arial" w:cs="Arial" w:eastAsia="Arial" w:hAnsi="Arial"/>
                <w:sz w:val="18"/>
                <w:szCs w:val="18"/>
                <w:color w:val="202124"/>
              </w:rPr>
              <w:t>impact.</w:t>
            </w: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600" w:type="dxa"/>
            <w:vAlign w:val="bottom"/>
          </w:tcPr>
          <w:p>
            <w:pPr>
              <w:spacing w:after="0"/>
              <w:rPr>
                <w:sz w:val="20"/>
                <w:szCs w:val="20"/>
                <w:color w:val="auto"/>
              </w:rPr>
            </w:pPr>
            <w:r>
              <w:rPr>
                <w:rFonts w:ascii="Arial" w:cs="Arial" w:eastAsia="Arial" w:hAnsi="Arial"/>
                <w:sz w:val="18"/>
                <w:szCs w:val="18"/>
                <w:b w:val="1"/>
                <w:bCs w:val="1"/>
                <w:color w:val="202124"/>
              </w:rPr>
              <w:t>We strongly believe FY26 positions us well for future long-</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600" w:type="dxa"/>
            <w:vAlign w:val="bottom"/>
            <w:vMerge w:val="restart"/>
          </w:tcPr>
          <w:p>
            <w:pPr>
              <w:spacing w:after="0" w:line="202" w:lineRule="exact"/>
              <w:rPr>
                <w:sz w:val="20"/>
                <w:szCs w:val="20"/>
                <w:color w:val="auto"/>
              </w:rPr>
            </w:pPr>
            <w:r>
              <w:rPr>
                <w:rFonts w:ascii="Arial" w:cs="Arial" w:eastAsia="Arial" w:hAnsi="Arial"/>
                <w:sz w:val="18"/>
                <w:szCs w:val="18"/>
                <w:b w:val="1"/>
                <w:bCs w:val="1"/>
                <w:color w:val="202124"/>
              </w:rPr>
              <w:t xml:space="preserve">term growth and returns for our stockholders. </w:t>
            </w:r>
            <w:r>
              <w:rPr>
                <w:rFonts w:ascii="Arial" w:cs="Arial" w:eastAsia="Arial" w:hAnsi="Arial"/>
                <w:sz w:val="18"/>
                <w:szCs w:val="18"/>
                <w:color w:val="202124"/>
              </w:rPr>
              <w:t>In addition to</w:t>
            </w:r>
          </w:p>
        </w:tc>
        <w:tc>
          <w:tcPr>
            <w:tcW w:w="3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600" w:type="dxa"/>
            <w:vAlign w:val="bottom"/>
            <w:vMerge w:val="continue"/>
          </w:tcPr>
          <w:p>
            <w:pPr>
              <w:spacing w:after="0"/>
              <w:rPr>
                <w:sz w:val="10"/>
                <w:szCs w:val="10"/>
                <w:color w:val="auto"/>
              </w:rPr>
            </w:pPr>
          </w:p>
        </w:tc>
        <w:tc>
          <w:tcPr>
            <w:tcW w:w="3900" w:type="dxa"/>
            <w:vAlign w:val="bottom"/>
            <w:tcBorders>
              <w:bottom w:val="single" w:sz="8" w:color="D9D9D9"/>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line="191" w:lineRule="exact"/>
              <w:rPr>
                <w:sz w:val="20"/>
                <w:szCs w:val="20"/>
                <w:color w:val="auto"/>
              </w:rPr>
            </w:pPr>
            <w:r>
              <w:rPr>
                <w:rFonts w:ascii="Arial" w:cs="Arial" w:eastAsia="Arial" w:hAnsi="Arial"/>
                <w:sz w:val="18"/>
                <w:szCs w:val="18"/>
                <w:color w:val="202124"/>
              </w:rPr>
              <w:t>investing in new and existing stores, distribution centers, Mega</w:t>
            </w:r>
          </w:p>
        </w:tc>
        <w:tc>
          <w:tcPr>
            <w:tcW w:w="3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Total Shareholder Return</w:t>
            </w:r>
          </w:p>
        </w:tc>
        <w:tc>
          <w:tcPr>
            <w:tcW w:w="0" w:type="dxa"/>
            <w:vAlign w:val="bottom"/>
          </w:tcPr>
          <w:p>
            <w:pPr>
              <w:spacing w:after="0"/>
              <w:rPr>
                <w:sz w:val="1"/>
                <w:szCs w:val="1"/>
                <w:color w:val="auto"/>
              </w:rPr>
            </w:pPr>
          </w:p>
        </w:tc>
      </w:tr>
      <w:tr>
        <w:trPr>
          <w:trHeight w:val="181"/>
        </w:trPr>
        <w:tc>
          <w:tcPr>
            <w:tcW w:w="5600" w:type="dxa"/>
            <w:vAlign w:val="bottom"/>
          </w:tcPr>
          <w:p>
            <w:pPr>
              <w:spacing w:after="0" w:line="182" w:lineRule="exact"/>
              <w:rPr>
                <w:sz w:val="20"/>
                <w:szCs w:val="20"/>
                <w:color w:val="auto"/>
              </w:rPr>
            </w:pPr>
            <w:r>
              <w:rPr>
                <w:rFonts w:ascii="Arial" w:cs="Arial" w:eastAsia="Arial" w:hAnsi="Arial"/>
                <w:sz w:val="18"/>
                <w:szCs w:val="18"/>
                <w:color w:val="202124"/>
              </w:rPr>
              <w:t>Hubs and technology infrastructure, we are continuing to honor our</w:t>
            </w: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commitment to stockholder returns by using remaining cash to</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repurchase shares. During FY26, we returned approximately $2.0</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billion of cash to our stockholders in the form of share</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repurchases. Cumulatively, this brings the aggregate return of</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202124"/>
              </w:rPr>
              <w:t>$40.5 billion to stockholders since the inception of our share</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00" w:type="dxa"/>
            <w:vAlign w:val="bottom"/>
          </w:tcPr>
          <w:p>
            <w:pPr>
              <w:spacing w:after="0"/>
              <w:rPr>
                <w:sz w:val="20"/>
                <w:szCs w:val="20"/>
                <w:color w:val="auto"/>
              </w:rPr>
            </w:pPr>
            <w:r>
              <w:rPr>
                <w:rFonts w:ascii="Arial" w:cs="Arial" w:eastAsia="Arial" w:hAnsi="Arial"/>
                <w:sz w:val="18"/>
                <w:szCs w:val="18"/>
                <w:color w:val="202124"/>
              </w:rPr>
              <w:t>repurchase program in 1998.</w:t>
            </w: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5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39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41</w:t>
            </w:r>
          </w:p>
        </w:tc>
      </w:tr>
    </w:tbl>
    <w:p>
      <w:pPr>
        <w:sectPr>
          <w:pgSz w:w="11900" w:h="16838" w:orient="portrait"/>
          <w:cols w:equalWidth="0" w:num="1">
            <w:col w:w="10360"/>
          </w:cols>
          <w:pgMar w:left="440" w:top="106" w:right="1099" w:bottom="1440" w:gutter="0" w:footer="0" w:header="0"/>
        </w:sectPr>
      </w:pPr>
    </w:p>
    <w:bookmarkStart w:id="44" w:name="page45"/>
    <w:bookmarkEnd w:id="4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b w:val="1"/>
                <w:bCs w:val="1"/>
                <w:color w:val="202124"/>
              </w:rPr>
              <w:t>As part of our long-term growth strategy, we continue to</w:t>
            </w:r>
          </w:p>
        </w:tc>
        <w:tc>
          <w:tcPr>
            <w:tcW w:w="3560" w:type="dxa"/>
            <w:vAlign w:val="bottom"/>
          </w:tcPr>
          <w:p>
            <w:pPr>
              <w:spacing w:after="0"/>
              <w:rPr>
                <w:sz w:val="17"/>
                <w:szCs w:val="17"/>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8"/>
                <w:szCs w:val="18"/>
                <w:b w:val="1"/>
                <w:bCs w:val="1"/>
                <w:color w:val="202124"/>
              </w:rPr>
              <w:t xml:space="preserve">invest in our future by making capital investments </w:t>
            </w:r>
            <w:r>
              <w:rPr>
                <w:rFonts w:ascii="Arial" w:cs="Arial" w:eastAsia="Arial" w:hAnsi="Arial"/>
                <w:sz w:val="18"/>
                <w:szCs w:val="18"/>
                <w:color w:val="202124"/>
              </w:rPr>
              <w:t>in new store</w:t>
            </w:r>
          </w:p>
        </w:tc>
        <w:tc>
          <w:tcPr>
            <w:tcW w:w="3560" w:type="dxa"/>
            <w:vAlign w:val="bottom"/>
          </w:tcPr>
          <w:p>
            <w:pPr>
              <w:ind w:left="280"/>
              <w:spacing w:after="0"/>
              <w:rPr>
                <w:sz w:val="20"/>
                <w:szCs w:val="20"/>
                <w:color w:val="auto"/>
              </w:rPr>
            </w:pPr>
            <w:r>
              <w:rPr>
                <w:rFonts w:ascii="Arial" w:cs="Arial" w:eastAsia="Arial" w:hAnsi="Arial"/>
                <w:sz w:val="18"/>
                <w:szCs w:val="18"/>
                <w:b w:val="1"/>
                <w:bCs w:val="1"/>
                <w:color w:val="auto"/>
                <w:w w:val="99"/>
              </w:rPr>
              <w:t>10 Year History of Capital Investments</w:t>
            </w:r>
          </w:p>
        </w:tc>
      </w:tr>
    </w:tbl>
    <w:p>
      <w:pPr>
        <w:ind w:left="640"/>
        <w:spacing w:after="0" w:line="234" w:lineRule="auto"/>
        <w:rPr>
          <w:sz w:val="20"/>
          <w:szCs w:val="20"/>
          <w:color w:val="auto"/>
        </w:rPr>
      </w:pPr>
      <w:r>
        <w:rPr>
          <w:rFonts w:ascii="Arial" w:cs="Arial" w:eastAsia="Arial" w:hAnsi="Arial"/>
          <w:sz w:val="18"/>
          <w:szCs w:val="18"/>
          <w:color w:val="202124"/>
        </w:rPr>
        <w:t>development, distribution capacity, Hub and Mega Hub expansion,</w:t>
      </w:r>
    </w:p>
    <w:p>
      <w:pPr>
        <w:spacing w:after="0" w:line="1" w:lineRule="exact"/>
        <w:rPr>
          <w:sz w:val="20"/>
          <w:szCs w:val="20"/>
          <w:color w:val="auto"/>
        </w:rPr>
      </w:pPr>
    </w:p>
    <w:p>
      <w:pPr>
        <w:ind w:left="640" w:right="4620"/>
        <w:spacing w:after="0" w:line="226" w:lineRule="auto"/>
        <w:rPr>
          <w:sz w:val="20"/>
          <w:szCs w:val="20"/>
          <w:color w:val="auto"/>
        </w:rPr>
      </w:pPr>
      <w:r>
        <w:rPr>
          <w:rFonts w:ascii="Arial" w:cs="Arial" w:eastAsia="Arial" w:hAnsi="Arial"/>
          <w:sz w:val="18"/>
          <w:szCs w:val="18"/>
          <w:color w:val="202124"/>
        </w:rPr>
        <w:t>and information technology initiatives designed to support future sales growth and strengthen our competitive position. These</w:t>
      </w:r>
    </w:p>
    <w:p>
      <w:pPr>
        <w:spacing w:after="0" w:line="2" w:lineRule="exact"/>
        <w:rPr>
          <w:sz w:val="20"/>
          <w:szCs w:val="20"/>
          <w:color w:val="auto"/>
        </w:rPr>
      </w:pPr>
    </w:p>
    <w:p>
      <w:pPr>
        <w:ind w:left="640" w:right="5320"/>
        <w:spacing w:after="0" w:line="250" w:lineRule="auto"/>
        <w:rPr>
          <w:sz w:val="20"/>
          <w:szCs w:val="20"/>
          <w:color w:val="auto"/>
        </w:rPr>
      </w:pPr>
      <w:r>
        <w:rPr>
          <w:rFonts w:ascii="Arial" w:cs="Arial" w:eastAsia="Arial" w:hAnsi="Arial"/>
          <w:sz w:val="18"/>
          <w:szCs w:val="18"/>
          <w:color w:val="202124"/>
        </w:rPr>
        <w:t>investments position the Company to deliver long-term, sustainable stockholder value.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right="280"/>
        <w:spacing w:after="0" w:line="251" w:lineRule="auto"/>
        <w:rPr>
          <w:sz w:val="20"/>
          <w:szCs w:val="20"/>
          <w:color w:val="auto"/>
        </w:rPr>
      </w:pPr>
      <w:r>
        <w:rPr>
          <w:rFonts w:ascii="Arial" w:cs="Arial" w:eastAsia="Arial" w:hAnsi="Arial"/>
          <w:sz w:val="17"/>
          <w:szCs w:val="17"/>
          <w:b w:val="1"/>
          <w:bCs w:val="1"/>
          <w:color w:val="202124"/>
        </w:rPr>
        <w:t xml:space="preserve">We challenged our AutoZoners to accelerate growth. </w:t>
      </w:r>
      <w:r>
        <w:rPr>
          <w:rFonts w:ascii="Arial" w:cs="Arial" w:eastAsia="Arial" w:hAnsi="Arial"/>
          <w:sz w:val="17"/>
          <w:szCs w:val="17"/>
          <w:color w:val="202124"/>
        </w:rPr>
        <w:t>The Company delivered solid results, executing an ambitious</w:t>
      </w:r>
      <w:r>
        <w:rPr>
          <w:rFonts w:ascii="Arial" w:cs="Arial" w:eastAsia="Arial" w:hAnsi="Arial"/>
          <w:sz w:val="17"/>
          <w:szCs w:val="17"/>
          <w:b w:val="1"/>
          <w:bCs w:val="1"/>
          <w:color w:val="202124"/>
        </w:rPr>
        <w:t xml:space="preserve"> </w:t>
      </w:r>
      <w:r>
        <w:rPr>
          <w:rFonts w:ascii="Arial" w:cs="Arial" w:eastAsia="Arial" w:hAnsi="Arial"/>
          <w:sz w:val="17"/>
          <w:szCs w:val="17"/>
          <w:color w:val="202124"/>
        </w:rPr>
        <w:t>growth strategy amidst continued volatility in the external environment. With our focus on the future, we set challenging</w:t>
      </w:r>
    </w:p>
    <w:p>
      <w:pPr>
        <w:spacing w:after="0" w:line="1"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202124"/>
        </w:rPr>
        <w:t>expansion goals for our stores, systems, and supply chain. Our financial targets were appropriately rigorous with our EBIT target increasing 4% year over year, reflecting our commitment to stockholder return.</w:t>
      </w:r>
    </w:p>
    <w:p>
      <w:pPr>
        <w:sectPr>
          <w:pgSz w:w="11900" w:h="16838" w:orient="portrait"/>
          <w:cols w:equalWidth="0" w:num="1">
            <w:col w:w="10360"/>
          </w:cols>
          <w:pgMar w:left="440" w:top="106" w:right="1099" w:bottom="1440" w:gutter="0" w:footer="0" w:header="0"/>
        </w:sectPr>
      </w:pP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AUTOZONER ENGAGEMENT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AutoZone is committed to continuing to build a diverse organization</w:t>
      </w:r>
    </w:p>
    <w:p>
      <w:pPr>
        <w:spacing w:after="0" w:line="14"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202124"/>
        </w:rPr>
        <w:t>that represents our customers and the communities in which we serve. This commitment begins at the top with our Board of Directors</w:t>
      </w:r>
    </w:p>
    <w:p>
      <w:pPr>
        <w:ind w:left="640"/>
        <w:spacing w:after="0" w:line="236" w:lineRule="auto"/>
        <w:rPr>
          <w:sz w:val="20"/>
          <w:szCs w:val="20"/>
          <w:color w:val="auto"/>
        </w:rPr>
      </w:pPr>
      <w:r>
        <w:rPr>
          <w:rFonts w:ascii="Arial" w:cs="Arial" w:eastAsia="Arial" w:hAnsi="Arial"/>
          <w:sz w:val="18"/>
          <w:szCs w:val="18"/>
          <w:color w:val="202124"/>
        </w:rPr>
        <w:t>and our Executive Committee. We are proud of the quality, strength,</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202124"/>
        </w:rPr>
        <w:t>experience, diversity and tenure represented on our 15-person Executive Committee. This leadership and advocacy serve to ensure</w:t>
      </w:r>
    </w:p>
    <w:p>
      <w:pPr>
        <w:spacing w:after="0" w:line="2" w:lineRule="exact"/>
        <w:rPr>
          <w:sz w:val="20"/>
          <w:szCs w:val="20"/>
          <w:color w:val="auto"/>
        </w:rPr>
      </w:pPr>
    </w:p>
    <w:p>
      <w:pPr>
        <w:ind w:left="640" w:right="660"/>
        <w:spacing w:after="0" w:line="250" w:lineRule="auto"/>
        <w:rPr>
          <w:sz w:val="20"/>
          <w:szCs w:val="20"/>
          <w:color w:val="auto"/>
        </w:rPr>
      </w:pPr>
      <w:r>
        <w:rPr>
          <w:rFonts w:ascii="Arial" w:cs="Arial" w:eastAsia="Arial" w:hAnsi="Arial"/>
          <w:sz w:val="18"/>
          <w:szCs w:val="18"/>
          <w:color w:val="202124"/>
        </w:rPr>
        <w:t>we remain dedicated to continuing to invest in and develop a talented pipeline of AutoZoners.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ind w:right="320"/>
        <w:spacing w:after="0"/>
        <w:rPr>
          <w:sz w:val="20"/>
          <w:szCs w:val="20"/>
          <w:color w:val="auto"/>
        </w:rPr>
      </w:pPr>
      <w:r>
        <w:rPr>
          <w:rFonts w:ascii="Arial" w:cs="Arial" w:eastAsia="Arial" w:hAnsi="Arial"/>
          <w:sz w:val="29"/>
          <w:szCs w:val="29"/>
          <w:color w:val="202124"/>
        </w:rPr>
        <w:t>A</w:t>
      </w:r>
      <w:r>
        <w:rPr>
          <w:rFonts w:ascii="Arial" w:cs="Arial" w:eastAsia="Arial" w:hAnsi="Arial"/>
          <w:sz w:val="20"/>
          <w:szCs w:val="20"/>
          <w:color w:val="202124"/>
        </w:rPr>
        <w:t>n</w:t>
      </w:r>
      <w:r>
        <w:rPr>
          <w:rFonts w:ascii="Arial" w:cs="Arial" w:eastAsia="Arial" w:hAnsi="Arial"/>
          <w:sz w:val="29"/>
          <w:szCs w:val="29"/>
          <w:color w:val="202124"/>
        </w:rPr>
        <w:t xml:space="preserve"> A</w:t>
      </w:r>
      <w:r>
        <w:rPr>
          <w:rFonts w:ascii="Arial" w:cs="Arial" w:eastAsia="Arial" w:hAnsi="Arial"/>
          <w:sz w:val="20"/>
          <w:szCs w:val="20"/>
          <w:color w:val="202124"/>
        </w:rPr>
        <w:t>uto</w:t>
      </w:r>
      <w:r>
        <w:rPr>
          <w:rFonts w:ascii="Arial" w:cs="Arial" w:eastAsia="Arial" w:hAnsi="Arial"/>
          <w:sz w:val="29"/>
          <w:szCs w:val="29"/>
          <w:color w:val="202124"/>
        </w:rPr>
        <w:t>Z</w:t>
      </w:r>
      <w:r>
        <w:rPr>
          <w:rFonts w:ascii="Arial" w:cs="Arial" w:eastAsia="Arial" w:hAnsi="Arial"/>
          <w:sz w:val="20"/>
          <w:szCs w:val="20"/>
          <w:color w:val="202124"/>
        </w:rPr>
        <w:t>oner always</w:t>
      </w:r>
    </w:p>
    <w:p>
      <w:pPr>
        <w:spacing w:after="0" w:line="32" w:lineRule="exact"/>
        <w:rPr>
          <w:sz w:val="20"/>
          <w:szCs w:val="20"/>
          <w:color w:val="auto"/>
        </w:rPr>
      </w:pPr>
    </w:p>
    <w:p>
      <w:pPr>
        <w:jc w:val="center"/>
        <w:ind w:right="320"/>
        <w:spacing w:after="0"/>
        <w:rPr>
          <w:sz w:val="20"/>
          <w:szCs w:val="20"/>
          <w:color w:val="auto"/>
        </w:rPr>
      </w:pPr>
      <w:r>
        <w:rPr>
          <w:rFonts w:ascii="Arial" w:cs="Arial" w:eastAsia="Arial" w:hAnsi="Arial"/>
          <w:sz w:val="29"/>
          <w:szCs w:val="29"/>
          <w:b w:val="1"/>
          <w:bCs w:val="1"/>
          <w:color w:val="202124"/>
        </w:rPr>
        <w:t>EMBRACES DIVERSITY</w:t>
      </w:r>
    </w:p>
    <w:p>
      <w:pPr>
        <w:spacing w:after="0" w:line="31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202124"/>
        </w:rPr>
        <w:t>Welcome each individuals’ heritage,</w:t>
      </w:r>
    </w:p>
    <w:p>
      <w:pPr>
        <w:spacing w:after="0" w:line="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202124"/>
        </w:rPr>
        <w:t>differences and unique qualities. Build teams with diverse thoughts, skills, knowledge and backgrounds. Value the ideas and opinions of others.</w:t>
      </w:r>
    </w:p>
    <w:p>
      <w:pPr>
        <w:spacing w:after="0" w:line="200" w:lineRule="exact"/>
        <w:rPr>
          <w:sz w:val="20"/>
          <w:szCs w:val="20"/>
          <w:color w:val="auto"/>
        </w:rPr>
      </w:pPr>
    </w:p>
    <w:p>
      <w:pPr>
        <w:sectPr>
          <w:pgSz w:w="11900" w:h="16838" w:orient="portrait"/>
          <w:cols w:equalWidth="0" w:num="2">
            <w:col w:w="6120" w:space="360"/>
            <w:col w:w="388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42   </w:t>
      </w:r>
      <w:r>
        <w:rPr>
          <w:sz w:val="1"/>
          <w:szCs w:val="1"/>
          <w:color w:val="auto"/>
        </w:rPr>
        <w:drawing>
          <wp:inline distT="0" distB="0" distL="0" distR="0">
            <wp:extent cx="116586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Compensation Framework</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GUIDING PRINCIPLES</w:t>
      </w:r>
    </w:p>
    <w:p>
      <w:pPr>
        <w:spacing w:after="0" w:line="104" w:lineRule="exact"/>
        <w:rPr>
          <w:sz w:val="20"/>
          <w:szCs w:val="20"/>
          <w:color w:val="auto"/>
        </w:rPr>
      </w:pPr>
    </w:p>
    <w:p>
      <w:pPr>
        <w:ind w:left="640" w:right="20"/>
        <w:spacing w:after="0" w:line="247" w:lineRule="auto"/>
        <w:rPr>
          <w:sz w:val="20"/>
          <w:szCs w:val="20"/>
          <w:color w:val="auto"/>
        </w:rPr>
      </w:pPr>
      <w:r>
        <w:rPr>
          <w:rFonts w:ascii="Arial" w:cs="Arial" w:eastAsia="Arial" w:hAnsi="Arial"/>
          <w:sz w:val="18"/>
          <w:szCs w:val="18"/>
          <w:color w:val="202124"/>
        </w:rPr>
        <w:t>As a leading retailer and distributor of automotive replacement parts and accessories in the Americas, we believe an effective compensation program should be carefully designed to address the unique needs of our company, taking into consideration the industry, our history and the AutoZoner population for which such compensation program is designed. In particular, AutoZone’s executive compensation program is designed around three primary Guiding Principles.</w:t>
      </w:r>
    </w:p>
    <w:p>
      <w:pPr>
        <w:spacing w:after="0" w:line="24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202124"/>
        </w:rPr>
        <w:t>COMPENSATION GUIDING PRINCIPLES</w:t>
      </w:r>
    </w:p>
    <w:p>
      <w:pPr>
        <w:spacing w:after="0" w:line="185" w:lineRule="exact"/>
        <w:rPr>
          <w:sz w:val="20"/>
          <w:szCs w:val="20"/>
          <w:color w:val="auto"/>
        </w:rPr>
      </w:pPr>
    </w:p>
    <w:p>
      <w:pPr>
        <w:ind w:left="2780"/>
        <w:spacing w:after="0"/>
        <w:rPr>
          <w:sz w:val="20"/>
          <w:szCs w:val="20"/>
          <w:color w:val="auto"/>
        </w:rPr>
      </w:pPr>
      <w:r>
        <w:rPr>
          <w:rFonts w:ascii="Arial" w:cs="Arial" w:eastAsia="Arial" w:hAnsi="Arial"/>
          <w:sz w:val="18"/>
          <w:szCs w:val="18"/>
          <w:b w:val="1"/>
          <w:bCs w:val="1"/>
          <w:i w:val="1"/>
          <w:iCs w:val="1"/>
          <w:color w:val="F37F00"/>
        </w:rPr>
        <w:t xml:space="preserve">Drive </w:t>
      </w:r>
      <w:r>
        <w:rPr>
          <w:rFonts w:ascii="Arial" w:cs="Arial" w:eastAsia="Arial" w:hAnsi="Arial"/>
          <w:sz w:val="18"/>
          <w:szCs w:val="18"/>
          <w:b w:val="1"/>
          <w:bCs w:val="1"/>
          <w:color w:val="F37F00"/>
        </w:rPr>
        <w:t>PERFORMANCE</w:t>
      </w:r>
    </w:p>
    <w:p>
      <w:pPr>
        <w:spacing w:after="0" w:line="104" w:lineRule="exact"/>
        <w:rPr>
          <w:sz w:val="20"/>
          <w:szCs w:val="20"/>
          <w:color w:val="auto"/>
        </w:rPr>
      </w:pPr>
    </w:p>
    <w:p>
      <w:pPr>
        <w:jc w:val="both"/>
        <w:ind w:left="2780" w:right="820"/>
        <w:spacing w:after="0" w:line="253" w:lineRule="auto"/>
        <w:rPr>
          <w:sz w:val="20"/>
          <w:szCs w:val="20"/>
          <w:color w:val="auto"/>
        </w:rPr>
      </w:pPr>
      <w:r>
        <w:rPr>
          <w:rFonts w:ascii="Arial" w:cs="Arial" w:eastAsia="Arial" w:hAnsi="Arial"/>
          <w:sz w:val="18"/>
          <w:szCs w:val="18"/>
          <w:color w:val="202124"/>
        </w:rPr>
        <w:t xml:space="preserve">Does the compensation program embody our </w:t>
      </w:r>
      <w:r>
        <w:rPr>
          <w:rFonts w:ascii="Arial" w:cs="Arial" w:eastAsia="Arial" w:hAnsi="Arial"/>
          <w:sz w:val="18"/>
          <w:szCs w:val="18"/>
          <w:b w:val="1"/>
          <w:bCs w:val="1"/>
          <w:color w:val="202124"/>
        </w:rPr>
        <w:t>pay-for-performance philosophy</w:t>
      </w:r>
      <w:r>
        <w:rPr>
          <w:rFonts w:ascii="Arial" w:cs="Arial" w:eastAsia="Arial" w:hAnsi="Arial"/>
          <w:sz w:val="18"/>
          <w:szCs w:val="18"/>
          <w:color w:val="202124"/>
        </w:rPr>
        <w:t xml:space="preserve"> by driving short-term and long-term performance? Are there appropriate </w:t>
      </w:r>
      <w:r>
        <w:rPr>
          <w:rFonts w:ascii="Arial" w:cs="Arial" w:eastAsia="Arial" w:hAnsi="Arial"/>
          <w:sz w:val="18"/>
          <w:szCs w:val="18"/>
          <w:b w:val="1"/>
          <w:bCs w:val="1"/>
          <w:color w:val="202124"/>
        </w:rPr>
        <w:t>risk mitigation</w:t>
      </w:r>
      <w:r>
        <w:rPr>
          <w:rFonts w:ascii="Arial" w:cs="Arial" w:eastAsia="Arial" w:hAnsi="Arial"/>
          <w:sz w:val="18"/>
          <w:szCs w:val="18"/>
          <w:color w:val="202124"/>
        </w:rPr>
        <w:t xml:space="preserve"> measures designed to prevent excessive risk taking?</w:t>
      </w:r>
    </w:p>
    <w:p>
      <w:pPr>
        <w:spacing w:after="0" w:line="250" w:lineRule="exact"/>
        <w:rPr>
          <w:sz w:val="20"/>
          <w:szCs w:val="20"/>
          <w:color w:val="auto"/>
        </w:rPr>
      </w:pPr>
    </w:p>
    <w:p>
      <w:pPr>
        <w:ind w:left="2780"/>
        <w:spacing w:after="0"/>
        <w:rPr>
          <w:sz w:val="20"/>
          <w:szCs w:val="20"/>
          <w:color w:val="auto"/>
        </w:rPr>
      </w:pPr>
      <w:r>
        <w:rPr>
          <w:rFonts w:ascii="Arial" w:cs="Arial" w:eastAsia="Arial" w:hAnsi="Arial"/>
          <w:sz w:val="18"/>
          <w:szCs w:val="18"/>
          <w:b w:val="1"/>
          <w:bCs w:val="1"/>
          <w:i w:val="1"/>
          <w:iCs w:val="1"/>
          <w:color w:val="F37F00"/>
        </w:rPr>
        <w:t xml:space="preserve">Drive </w:t>
      </w:r>
      <w:r>
        <w:rPr>
          <w:rFonts w:ascii="Arial" w:cs="Arial" w:eastAsia="Arial" w:hAnsi="Arial"/>
          <w:sz w:val="18"/>
          <w:szCs w:val="18"/>
          <w:b w:val="1"/>
          <w:bCs w:val="1"/>
          <w:color w:val="F37F00"/>
        </w:rPr>
        <w:t>RETENTION</w:t>
      </w:r>
    </w:p>
    <w:p>
      <w:pPr>
        <w:spacing w:after="0" w:line="104" w:lineRule="exact"/>
        <w:rPr>
          <w:sz w:val="20"/>
          <w:szCs w:val="20"/>
          <w:color w:val="auto"/>
        </w:rPr>
      </w:pPr>
    </w:p>
    <w:p>
      <w:pPr>
        <w:ind w:left="2780" w:right="1040"/>
        <w:spacing w:after="0" w:line="250" w:lineRule="auto"/>
        <w:rPr>
          <w:sz w:val="20"/>
          <w:szCs w:val="20"/>
          <w:color w:val="auto"/>
        </w:rPr>
      </w:pPr>
      <w:r>
        <w:rPr>
          <w:rFonts w:ascii="Arial" w:cs="Arial" w:eastAsia="Arial" w:hAnsi="Arial"/>
          <w:sz w:val="18"/>
          <w:szCs w:val="18"/>
          <w:color w:val="202124"/>
        </w:rPr>
        <w:t xml:space="preserve">Are we </w:t>
      </w:r>
      <w:r>
        <w:rPr>
          <w:rFonts w:ascii="Arial" w:cs="Arial" w:eastAsia="Arial" w:hAnsi="Arial"/>
          <w:sz w:val="18"/>
          <w:szCs w:val="18"/>
          <w:b w:val="1"/>
          <w:bCs w:val="1"/>
          <w:color w:val="202124"/>
        </w:rPr>
        <w:t>attracting and retaining effective leaders</w:t>
      </w:r>
      <w:r>
        <w:rPr>
          <w:rFonts w:ascii="Arial" w:cs="Arial" w:eastAsia="Arial" w:hAnsi="Arial"/>
          <w:sz w:val="18"/>
          <w:szCs w:val="18"/>
          <w:color w:val="202124"/>
        </w:rPr>
        <w:t xml:space="preserve"> who can develop and execute long-term strategic objectives? Are they appropriately incented to ensure the long-term success of the organization, including after their retirement? Are they encouraged to attract, retain and develop </w:t>
      </w:r>
      <w:r>
        <w:rPr>
          <w:rFonts w:ascii="Arial" w:cs="Arial" w:eastAsia="Arial" w:hAnsi="Arial"/>
          <w:sz w:val="18"/>
          <w:szCs w:val="18"/>
          <w:b w:val="1"/>
          <w:bCs w:val="1"/>
          <w:color w:val="202124"/>
        </w:rPr>
        <w:t>organizational talent for the future</w:t>
      </w:r>
      <w:r>
        <w:rPr>
          <w:rFonts w:ascii="Arial" w:cs="Arial" w:eastAsia="Arial" w:hAnsi="Arial"/>
          <w:sz w:val="18"/>
          <w:szCs w:val="18"/>
          <w:color w:val="202124"/>
        </w:rPr>
        <w:t>?</w:t>
      </w:r>
    </w:p>
    <w:p>
      <w:pPr>
        <w:spacing w:after="0" w:line="285" w:lineRule="exact"/>
        <w:rPr>
          <w:sz w:val="20"/>
          <w:szCs w:val="20"/>
          <w:color w:val="auto"/>
        </w:rPr>
      </w:pPr>
    </w:p>
    <w:p>
      <w:pPr>
        <w:ind w:left="2780"/>
        <w:spacing w:after="0"/>
        <w:rPr>
          <w:sz w:val="20"/>
          <w:szCs w:val="20"/>
          <w:color w:val="auto"/>
        </w:rPr>
      </w:pPr>
      <w:r>
        <w:rPr>
          <w:rFonts w:ascii="Arial" w:cs="Arial" w:eastAsia="Arial" w:hAnsi="Arial"/>
          <w:sz w:val="18"/>
          <w:szCs w:val="18"/>
          <w:b w:val="1"/>
          <w:bCs w:val="1"/>
          <w:i w:val="1"/>
          <w:iCs w:val="1"/>
          <w:color w:val="F37F00"/>
        </w:rPr>
        <w:t xml:space="preserve">Drive </w:t>
      </w:r>
      <w:r>
        <w:rPr>
          <w:rFonts w:ascii="Arial" w:cs="Arial" w:eastAsia="Arial" w:hAnsi="Arial"/>
          <w:sz w:val="18"/>
          <w:szCs w:val="18"/>
          <w:b w:val="1"/>
          <w:bCs w:val="1"/>
          <w:color w:val="F37F00"/>
        </w:rPr>
        <w:t>SHAREHOLDER VALUE</w:t>
      </w:r>
    </w:p>
    <w:p>
      <w:pPr>
        <w:spacing w:after="0" w:line="104" w:lineRule="exact"/>
        <w:rPr>
          <w:sz w:val="20"/>
          <w:szCs w:val="20"/>
          <w:color w:val="auto"/>
        </w:rPr>
      </w:pPr>
    </w:p>
    <w:p>
      <w:pPr>
        <w:jc w:val="both"/>
        <w:ind w:left="2780" w:right="860"/>
        <w:spacing w:after="0" w:line="257" w:lineRule="auto"/>
        <w:rPr>
          <w:sz w:val="20"/>
          <w:szCs w:val="20"/>
          <w:color w:val="auto"/>
        </w:rPr>
      </w:pPr>
      <w:r>
        <w:rPr>
          <w:rFonts w:ascii="Arial" w:cs="Arial" w:eastAsia="Arial" w:hAnsi="Arial"/>
          <w:sz w:val="18"/>
          <w:szCs w:val="18"/>
          <w:color w:val="202124"/>
        </w:rPr>
        <w:t xml:space="preserve">Are we investing in the </w:t>
      </w:r>
      <w:r>
        <w:rPr>
          <w:rFonts w:ascii="Arial" w:cs="Arial" w:eastAsia="Arial" w:hAnsi="Arial"/>
          <w:sz w:val="18"/>
          <w:szCs w:val="18"/>
          <w:b w:val="1"/>
          <w:bCs w:val="1"/>
          <w:color w:val="202124"/>
        </w:rPr>
        <w:t>profitable growth</w:t>
      </w:r>
      <w:r>
        <w:rPr>
          <w:rFonts w:ascii="Arial" w:cs="Arial" w:eastAsia="Arial" w:hAnsi="Arial"/>
          <w:sz w:val="18"/>
          <w:szCs w:val="18"/>
          <w:color w:val="202124"/>
        </w:rPr>
        <w:t xml:space="preserve"> of the business by incenting </w:t>
      </w:r>
      <w:r>
        <w:rPr>
          <w:rFonts w:ascii="Arial" w:cs="Arial" w:eastAsia="Arial" w:hAnsi="Arial"/>
          <w:sz w:val="18"/>
          <w:szCs w:val="18"/>
          <w:b w:val="1"/>
          <w:bCs w:val="1"/>
          <w:color w:val="202124"/>
        </w:rPr>
        <w:t>sustainable</w:t>
      </w:r>
      <w:r>
        <w:rPr>
          <w:rFonts w:ascii="Arial" w:cs="Arial" w:eastAsia="Arial" w:hAnsi="Arial"/>
          <w:sz w:val="18"/>
          <w:szCs w:val="18"/>
          <w:color w:val="202124"/>
        </w:rPr>
        <w:t xml:space="preserve"> </w:t>
      </w:r>
      <w:r>
        <w:rPr>
          <w:rFonts w:ascii="Arial" w:cs="Arial" w:eastAsia="Arial" w:hAnsi="Arial"/>
          <w:sz w:val="18"/>
          <w:szCs w:val="18"/>
          <w:b w:val="1"/>
          <w:bCs w:val="1"/>
          <w:color w:val="202124"/>
        </w:rPr>
        <w:t>value creation</w:t>
      </w:r>
      <w:r>
        <w:rPr>
          <w:rFonts w:ascii="Arial" w:cs="Arial" w:eastAsia="Arial" w:hAnsi="Arial"/>
          <w:sz w:val="18"/>
          <w:szCs w:val="18"/>
          <w:color w:val="202124"/>
        </w:rPr>
        <w:t>? Are performance and retention achieved in a manner that</w:t>
      </w:r>
      <w:r>
        <w:rPr>
          <w:rFonts w:ascii="Arial" w:cs="Arial" w:eastAsia="Arial" w:hAnsi="Arial"/>
          <w:sz w:val="18"/>
          <w:szCs w:val="18"/>
          <w:b w:val="1"/>
          <w:bCs w:val="1"/>
          <w:color w:val="202124"/>
        </w:rPr>
        <w:t xml:space="preserve"> does not come at an excessive cost to shareholders</w:t>
      </w:r>
      <w:r>
        <w:rPr>
          <w:rFonts w:ascii="Arial" w:cs="Arial" w:eastAsia="Arial" w:hAnsi="Arial"/>
          <w:sz w:val="18"/>
          <w:szCs w:val="18"/>
          <w:color w:val="202124"/>
        </w:rPr>
        <w:t>?</w:t>
      </w:r>
    </w:p>
    <w:p>
      <w:pPr>
        <w:spacing w:after="0" w:line="361" w:lineRule="exact"/>
        <w:rPr>
          <w:sz w:val="20"/>
          <w:szCs w:val="20"/>
          <w:color w:val="auto"/>
        </w:rPr>
      </w:pPr>
    </w:p>
    <w:p>
      <w:pPr>
        <w:ind w:left="640" w:right="360"/>
        <w:spacing w:after="0" w:line="247" w:lineRule="auto"/>
        <w:rPr>
          <w:sz w:val="20"/>
          <w:szCs w:val="20"/>
          <w:color w:val="auto"/>
        </w:rPr>
      </w:pPr>
      <w:r>
        <w:rPr>
          <w:rFonts w:ascii="Arial" w:cs="Arial" w:eastAsia="Arial" w:hAnsi="Arial"/>
          <w:sz w:val="18"/>
          <w:szCs w:val="18"/>
          <w:color w:val="202124"/>
        </w:rPr>
        <w:t>These Guiding Principles have shaped our executive compensation framework for more than 20 years. By referring to these Guiding Principles, the Compensation Committee has consistently evaluated our executive compensation over the years to determine whether the program remains effective or whether changes in compensation design are appropriate.</w:t>
      </w:r>
    </w:p>
    <w:p>
      <w:pPr>
        <w:spacing w:after="0" w:line="200" w:lineRule="exact"/>
        <w:rPr>
          <w:sz w:val="20"/>
          <w:szCs w:val="20"/>
          <w:color w:val="auto"/>
        </w:rPr>
      </w:pPr>
    </w:p>
    <w:p>
      <w:pPr>
        <w:spacing w:after="0" w:line="266"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202124"/>
        </w:rPr>
        <w:t>Drive Performance</w:t>
      </w:r>
    </w:p>
    <w:p>
      <w:pPr>
        <w:spacing w:after="0" w:line="139" w:lineRule="exact"/>
        <w:rPr>
          <w:sz w:val="20"/>
          <w:szCs w:val="20"/>
          <w:color w:val="auto"/>
        </w:rPr>
      </w:pPr>
    </w:p>
    <w:p>
      <w:pPr>
        <w:ind w:left="640" w:right="220"/>
        <w:spacing w:after="0" w:line="244" w:lineRule="auto"/>
        <w:rPr>
          <w:sz w:val="20"/>
          <w:szCs w:val="20"/>
          <w:color w:val="auto"/>
        </w:rPr>
      </w:pPr>
      <w:r>
        <w:rPr>
          <w:rFonts w:ascii="Arial" w:cs="Arial" w:eastAsia="Arial" w:hAnsi="Arial"/>
          <w:sz w:val="18"/>
          <w:szCs w:val="18"/>
          <w:color w:val="202124"/>
        </w:rPr>
        <w:t xml:space="preserve">Evaluating long-term performance is a necessary first step in evaluating executive compensation. At AutoZone, we pay particular attention to Total Shareholder Return (TSR), Diluted Earnings per Share (EPS), Earnings before Interest and Taxes (EBIT) and Return on Invested Capital (ROIC). We believe these metrics, when viewed over a ten-to-twenty-year horizon, provide a strong indication of whether our compensation program embodies not only a </w:t>
      </w:r>
      <w:r>
        <w:rPr>
          <w:rFonts w:ascii="Arial" w:cs="Arial" w:eastAsia="Arial" w:hAnsi="Arial"/>
          <w:sz w:val="18"/>
          <w:szCs w:val="18"/>
          <w:i w:val="1"/>
          <w:iCs w:val="1"/>
          <w:color w:val="202124"/>
        </w:rPr>
        <w:t>pay-for-performance</w:t>
      </w:r>
      <w:r>
        <w:rPr>
          <w:rFonts w:ascii="Arial" w:cs="Arial" w:eastAsia="Arial" w:hAnsi="Arial"/>
          <w:sz w:val="18"/>
          <w:szCs w:val="18"/>
          <w:color w:val="202124"/>
        </w:rPr>
        <w:t xml:space="preserve"> incentive structure, but also a </w:t>
      </w:r>
      <w:r>
        <w:rPr>
          <w:rFonts w:ascii="Arial" w:cs="Arial" w:eastAsia="Arial" w:hAnsi="Arial"/>
          <w:sz w:val="18"/>
          <w:szCs w:val="18"/>
          <w:i w:val="1"/>
          <w:iCs w:val="1"/>
          <w:color w:val="202124"/>
        </w:rPr>
        <w:t>pay-for-long-term-performance</w:t>
      </w:r>
      <w:r>
        <w:rPr>
          <w:rFonts w:ascii="Arial" w:cs="Arial" w:eastAsia="Arial" w:hAnsi="Arial"/>
          <w:sz w:val="18"/>
          <w:szCs w:val="18"/>
          <w:color w:val="202124"/>
        </w:rPr>
        <w:t xml:space="preserve"> incentive structure.</w:t>
      </w:r>
    </w:p>
    <w:p>
      <w:pPr>
        <w:spacing w:after="0" w:line="149" w:lineRule="exact"/>
        <w:rPr>
          <w:sz w:val="20"/>
          <w:szCs w:val="20"/>
          <w:color w:val="auto"/>
        </w:rPr>
      </w:pPr>
    </w:p>
    <w:p>
      <w:pPr>
        <w:ind w:left="640" w:right="200"/>
        <w:spacing w:after="0" w:line="301" w:lineRule="auto"/>
        <w:rPr>
          <w:sz w:val="20"/>
          <w:szCs w:val="20"/>
          <w:color w:val="auto"/>
        </w:rPr>
      </w:pPr>
      <w:r>
        <w:rPr>
          <w:rFonts w:ascii="Arial" w:cs="Arial" w:eastAsia="Arial" w:hAnsi="Arial"/>
          <w:sz w:val="17"/>
          <w:szCs w:val="17"/>
          <w:color w:val="202124"/>
        </w:rPr>
        <w:t>We believe embracing stock options versus performance-based stock units and opting for a fixed share model demonstrate a deep understanding of what behaviors drive success, and what incentives drive those desired behaviors.</w:t>
      </w:r>
    </w:p>
    <w:p>
      <w:pPr>
        <w:spacing w:after="0" w:line="90"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b w:val="1"/>
          <w:bCs w:val="1"/>
          <w:color w:val="202124"/>
        </w:rPr>
        <w:t xml:space="preserve">Is it working? Are we driving Long-Term Performance? </w:t>
      </w:r>
      <w:r>
        <w:rPr>
          <w:rFonts w:ascii="Arial" w:cs="Arial" w:eastAsia="Arial" w:hAnsi="Arial"/>
          <w:sz w:val="18"/>
          <w:szCs w:val="18"/>
          <w:color w:val="202124"/>
        </w:rPr>
        <w:t xml:space="preserve">Our approach to performance-based compensation and long-term incentives is admittedly unique and unconventional. However, when evaluating our performance </w:t>
      </w:r>
      <w:r>
        <w:rPr>
          <w:rFonts w:ascii="Arial" w:cs="Arial" w:eastAsia="Arial" w:hAnsi="Arial"/>
          <w:sz w:val="18"/>
          <w:szCs w:val="18"/>
          <w:b w:val="1"/>
          <w:bCs w:val="1"/>
          <w:i w:val="1"/>
          <w:iCs w:val="1"/>
          <w:color w:val="202124"/>
        </w:rPr>
        <w:t>over the past 20</w:t>
      </w:r>
      <w:r>
        <w:rPr>
          <w:rFonts w:ascii="Arial" w:cs="Arial" w:eastAsia="Arial" w:hAnsi="Arial"/>
          <w:sz w:val="18"/>
          <w:szCs w:val="18"/>
          <w:color w:val="202124"/>
        </w:rPr>
        <w:t xml:space="preserve"> </w:t>
      </w:r>
      <w:r>
        <w:rPr>
          <w:rFonts w:ascii="Arial" w:cs="Arial" w:eastAsia="Arial" w:hAnsi="Arial"/>
          <w:sz w:val="18"/>
          <w:szCs w:val="18"/>
          <w:b w:val="1"/>
          <w:bCs w:val="1"/>
          <w:i w:val="1"/>
          <w:iCs w:val="1"/>
          <w:color w:val="202124"/>
        </w:rPr>
        <w:t>years</w:t>
      </w:r>
      <w:r>
        <w:rPr>
          <w:rFonts w:ascii="Arial" w:cs="Arial" w:eastAsia="Arial" w:hAnsi="Arial"/>
          <w:sz w:val="18"/>
          <w:szCs w:val="18"/>
          <w:color w:val="202124"/>
        </w:rPr>
        <w:t>, we’ve observed the following</w:t>
      </w:r>
      <w:r>
        <w:rPr>
          <w:rFonts w:ascii="Arial" w:cs="Arial" w:eastAsia="Arial" w:hAnsi="Arial"/>
          <w:sz w:val="18"/>
          <w:szCs w:val="18"/>
          <w:b w:val="1"/>
          <w:bCs w:val="1"/>
          <w:i w:val="1"/>
          <w:iCs w:val="1"/>
          <w:color w:val="202124"/>
        </w:rPr>
        <w:t xml:space="preserve"> exceptional results</w:t>
      </w:r>
      <w:r>
        <w:rPr>
          <w:rFonts w:ascii="Arial" w:cs="Arial" w:eastAsia="Arial" w:hAnsi="Arial"/>
          <w:sz w:val="18"/>
          <w:szCs w:val="18"/>
          <w:color w:val="202124"/>
        </w:rPr>
        <w:t>—our annualized TSR has averaged approximately 20%,</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materially exceeding both the S&amp;P 500 and S&amp;P Retail Indices; and we are in the top 3% of the S&amp;P 500 when measured on the basis of Total Shareholder Return.</w:t>
      </w:r>
    </w:p>
    <w:p>
      <w:pPr>
        <w:spacing w:after="0" w:line="136" w:lineRule="exact"/>
        <w:rPr>
          <w:sz w:val="20"/>
          <w:szCs w:val="20"/>
          <w:color w:val="auto"/>
        </w:rPr>
      </w:pPr>
    </w:p>
    <w:p>
      <w:pPr>
        <w:ind w:left="640" w:right="420"/>
        <w:spacing w:after="0" w:line="271" w:lineRule="auto"/>
        <w:rPr>
          <w:sz w:val="20"/>
          <w:szCs w:val="20"/>
          <w:color w:val="auto"/>
        </w:rPr>
      </w:pPr>
      <w:r>
        <w:rPr>
          <w:rFonts w:ascii="Arial" w:cs="Arial" w:eastAsia="Arial" w:hAnsi="Arial"/>
          <w:sz w:val="18"/>
          <w:szCs w:val="18"/>
          <w:color w:val="202124"/>
        </w:rPr>
        <w:t>AutoZone has benefited from the effectiveness of stock options since becoming a public company in 1991, with stock price growth leading to a significant increase in excess of the accounting value of these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43</w:t>
            </w:r>
          </w:p>
        </w:tc>
      </w:tr>
    </w:tbl>
    <w:p>
      <w:pPr>
        <w:sectPr>
          <w:pgSz w:w="11900" w:h="16838" w:orient="portrait"/>
          <w:cols w:equalWidth="0" w:num="1">
            <w:col w:w="10360"/>
          </w:cols>
          <w:pgMar w:left="440" w:top="106" w:right="1099" w:bottom="1440" w:gutter="0" w:footer="0" w:header="0"/>
        </w:sectPr>
      </w:pPr>
    </w:p>
    <w:bookmarkStart w:id="46" w:name="page47"/>
    <w:bookmarkEnd w:id="4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202124"/>
        </w:rPr>
        <w:t>Drive Retention</w:t>
      </w:r>
    </w:p>
    <w:p>
      <w:pPr>
        <w:spacing w:after="0" w:line="139" w:lineRule="exact"/>
        <w:rPr>
          <w:sz w:val="20"/>
          <w:szCs w:val="20"/>
          <w:color w:val="auto"/>
        </w:rPr>
      </w:pPr>
    </w:p>
    <w:p>
      <w:pPr>
        <w:ind w:left="640" w:right="100"/>
        <w:spacing w:after="0" w:line="242" w:lineRule="auto"/>
        <w:rPr>
          <w:sz w:val="20"/>
          <w:szCs w:val="20"/>
          <w:color w:val="auto"/>
        </w:rPr>
      </w:pPr>
      <w:r>
        <w:rPr>
          <w:rFonts w:ascii="Arial" w:cs="Arial" w:eastAsia="Arial" w:hAnsi="Arial"/>
          <w:sz w:val="18"/>
          <w:szCs w:val="18"/>
          <w:color w:val="202124"/>
        </w:rPr>
        <w:t>Retention of key executive officers as well as other AutoZoners, combined with the ability to attract and recruit highly qualified, external leaders, is an important goal of our compensation program as it promotes superior and consistent execution of our operational and financial goals as well as more thoughtful succession planning and organizational development. This ultimately serves the long-term benefit of our customers, our organization and our investors. Accordingly, the Compensation Committee regularly reviews the turnover of the Company’s executive officers to evaluate retention.</w:t>
      </w:r>
    </w:p>
    <w:p>
      <w:pPr>
        <w:spacing w:after="0" w:line="71" w:lineRule="exact"/>
        <w:rPr>
          <w:sz w:val="20"/>
          <w:szCs w:val="20"/>
          <w:color w:val="auto"/>
        </w:rPr>
      </w:pPr>
    </w:p>
    <w:p>
      <w:pPr>
        <w:jc w:val="both"/>
        <w:ind w:left="1120" w:right="240" w:hanging="328"/>
        <w:spacing w:after="0" w:line="252" w:lineRule="auto"/>
        <w:tabs>
          <w:tab w:leader="none" w:pos="1120" w:val="left"/>
        </w:tabs>
        <w:numPr>
          <w:ilvl w:val="0"/>
          <w:numId w:val="65"/>
        </w:numPr>
        <w:rPr>
          <w:rFonts w:ascii="Times New Roman" w:cs="Times New Roman" w:eastAsia="Times New Roman" w:hAnsi="Times New Roman"/>
          <w:sz w:val="18"/>
          <w:szCs w:val="18"/>
          <w:color w:val="F37F00"/>
        </w:rPr>
      </w:pPr>
      <w:r>
        <w:rPr>
          <w:rFonts w:ascii="Arial" w:cs="Arial" w:eastAsia="Arial" w:hAnsi="Arial"/>
          <w:sz w:val="18"/>
          <w:szCs w:val="18"/>
          <w:color w:val="202124"/>
        </w:rPr>
        <w:t>During the past ten years, AutoZone has only lost one executive officer to another business due to their voluntary termination. To the contrary, our executive officers typically remain with AutoZone until their permanent retirement which allows for a successful transition of responsibilities to their successor.</w:t>
      </w:r>
    </w:p>
    <w:p>
      <w:pPr>
        <w:spacing w:after="0" w:line="62" w:lineRule="exact"/>
        <w:rPr>
          <w:rFonts w:ascii="Times New Roman" w:cs="Times New Roman" w:eastAsia="Times New Roman" w:hAnsi="Times New Roman"/>
          <w:sz w:val="18"/>
          <w:szCs w:val="18"/>
          <w:color w:val="F37F00"/>
        </w:rPr>
      </w:pPr>
    </w:p>
    <w:p>
      <w:pPr>
        <w:ind w:left="1120" w:right="340" w:hanging="328"/>
        <w:spacing w:after="0" w:line="270" w:lineRule="auto"/>
        <w:tabs>
          <w:tab w:leader="none" w:pos="1120" w:val="left"/>
        </w:tabs>
        <w:numPr>
          <w:ilvl w:val="0"/>
          <w:numId w:val="65"/>
        </w:numPr>
        <w:rPr>
          <w:rFonts w:ascii="Times New Roman" w:cs="Times New Roman" w:eastAsia="Times New Roman" w:hAnsi="Times New Roman"/>
          <w:sz w:val="18"/>
          <w:szCs w:val="18"/>
          <w:color w:val="F37F00"/>
        </w:rPr>
      </w:pPr>
      <w:r>
        <w:rPr>
          <w:rFonts w:ascii="Arial" w:cs="Arial" w:eastAsia="Arial" w:hAnsi="Arial"/>
          <w:sz w:val="18"/>
          <w:szCs w:val="18"/>
          <w:color w:val="202124"/>
        </w:rPr>
        <w:t>We have also shown that our compensation structure allows us to effectively recruit externally as we continue to recruit highly qualified and experienced leaders.</w:t>
      </w:r>
    </w:p>
    <w:p>
      <w:pPr>
        <w:spacing w:after="0" w:line="46" w:lineRule="exact"/>
        <w:rPr>
          <w:rFonts w:ascii="Times New Roman" w:cs="Times New Roman" w:eastAsia="Times New Roman" w:hAnsi="Times New Roman"/>
          <w:sz w:val="18"/>
          <w:szCs w:val="18"/>
          <w:color w:val="F37F00"/>
        </w:rPr>
      </w:pPr>
    </w:p>
    <w:p>
      <w:pPr>
        <w:ind w:left="1120" w:right="720" w:hanging="328"/>
        <w:spacing w:after="0" w:line="252" w:lineRule="auto"/>
        <w:tabs>
          <w:tab w:leader="none" w:pos="1120" w:val="left"/>
        </w:tabs>
        <w:numPr>
          <w:ilvl w:val="0"/>
          <w:numId w:val="65"/>
        </w:numPr>
        <w:rPr>
          <w:rFonts w:ascii="Times New Roman" w:cs="Times New Roman" w:eastAsia="Times New Roman" w:hAnsi="Times New Roman"/>
          <w:sz w:val="18"/>
          <w:szCs w:val="18"/>
          <w:color w:val="F37F00"/>
        </w:rPr>
      </w:pPr>
      <w:r>
        <w:rPr>
          <w:rFonts w:ascii="Arial" w:cs="Arial" w:eastAsia="Arial" w:hAnsi="Arial"/>
          <w:sz w:val="18"/>
          <w:szCs w:val="18"/>
          <w:color w:val="202124"/>
        </w:rPr>
        <w:t>The Compensation Committee does not regularly grant special retention awards and views such awards as exceptional, to be used only when justified by unique business circumstances and strategic retention considerations.</w:t>
      </w:r>
    </w:p>
    <w:p>
      <w:pPr>
        <w:spacing w:after="0" w:line="63" w:lineRule="exact"/>
        <w:rPr>
          <w:sz w:val="20"/>
          <w:szCs w:val="20"/>
          <w:color w:val="auto"/>
        </w:rPr>
      </w:pPr>
    </w:p>
    <w:p>
      <w:pPr>
        <w:ind w:left="1760" w:right="160" w:hanging="320"/>
        <w:spacing w:after="0" w:line="243" w:lineRule="auto"/>
        <w:tabs>
          <w:tab w:leader="none" w:pos="1760" w:val="left"/>
        </w:tabs>
        <w:numPr>
          <w:ilvl w:val="0"/>
          <w:numId w:val="66"/>
        </w:numPr>
        <w:rPr>
          <w:rFonts w:ascii="Courier New" w:cs="Courier New" w:eastAsia="Courier New" w:hAnsi="Courier New"/>
          <w:sz w:val="18"/>
          <w:szCs w:val="18"/>
          <w:color w:val="202124"/>
        </w:rPr>
      </w:pPr>
      <w:r>
        <w:rPr>
          <w:rFonts w:ascii="Arial" w:cs="Arial" w:eastAsia="Arial" w:hAnsi="Arial"/>
          <w:sz w:val="18"/>
          <w:szCs w:val="18"/>
          <w:color w:val="202124"/>
        </w:rPr>
        <w:t>This year, the Committee exercised its discretion to grant a one-time retention award for Kenneth Jaycox, SVP, Commercial, in circumstances where continued leadership and execution were considered important to the achievement of AutoZone’s strategic business objectives.</w:t>
      </w:r>
    </w:p>
    <w:p>
      <w:pPr>
        <w:spacing w:after="0" w:line="200" w:lineRule="exact"/>
        <w:rPr>
          <w:sz w:val="20"/>
          <w:szCs w:val="20"/>
          <w:color w:val="auto"/>
        </w:rPr>
      </w:pPr>
    </w:p>
    <w:p>
      <w:pPr>
        <w:spacing w:after="0" w:line="271"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202124"/>
        </w:rPr>
        <w:t>Drive Shareholder Value</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18"/>
        </w:trPr>
        <w:tc>
          <w:tcPr>
            <w:tcW w:w="5300" w:type="dxa"/>
            <w:vAlign w:val="bottom"/>
            <w:vMerge w:val="restart"/>
          </w:tcPr>
          <w:p>
            <w:pPr>
              <w:spacing w:after="0"/>
              <w:rPr>
                <w:sz w:val="20"/>
                <w:szCs w:val="20"/>
                <w:color w:val="auto"/>
              </w:rPr>
            </w:pPr>
            <w:r>
              <w:rPr>
                <w:rFonts w:ascii="Arial" w:cs="Arial" w:eastAsia="Arial" w:hAnsi="Arial"/>
                <w:sz w:val="18"/>
                <w:szCs w:val="18"/>
                <w:color w:val="202124"/>
              </w:rPr>
              <w:t>Investing in the profitable long-term growth of the business is a</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0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5300" w:type="dxa"/>
            <w:vAlign w:val="bottom"/>
            <w:vMerge w:val="continue"/>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100" w:type="dxa"/>
            <w:vAlign w:val="bottom"/>
          </w:tcPr>
          <w:p>
            <w:pPr>
              <w:spacing w:after="0"/>
              <w:rPr>
                <w:sz w:val="7"/>
                <w:szCs w:val="7"/>
                <w:color w:val="auto"/>
              </w:rPr>
            </w:pPr>
          </w:p>
        </w:tc>
        <w:tc>
          <w:tcPr>
            <w:tcW w:w="4120" w:type="dxa"/>
            <w:vAlign w:val="bottom"/>
            <w:gridSpan w:val="2"/>
            <w:vMerge w:val="restart"/>
          </w:tcPr>
          <w:p>
            <w:pPr>
              <w:jc w:val="center"/>
              <w:ind w:right="60"/>
              <w:spacing w:after="0"/>
              <w:rPr>
                <w:sz w:val="20"/>
                <w:szCs w:val="20"/>
                <w:color w:val="auto"/>
              </w:rPr>
            </w:pPr>
            <w:r>
              <w:rPr>
                <w:rFonts w:ascii="Arial" w:cs="Arial" w:eastAsia="Arial" w:hAnsi="Arial"/>
                <w:sz w:val="25"/>
                <w:szCs w:val="25"/>
                <w:color w:val="202124"/>
              </w:rPr>
              <w:t>A</w:t>
            </w:r>
            <w:r>
              <w:rPr>
                <w:rFonts w:ascii="Arial" w:cs="Arial" w:eastAsia="Arial" w:hAnsi="Arial"/>
                <w:sz w:val="17"/>
                <w:szCs w:val="17"/>
                <w:color w:val="202124"/>
              </w:rPr>
              <w:t>n</w:t>
            </w:r>
            <w:r>
              <w:rPr>
                <w:rFonts w:ascii="Arial" w:cs="Arial" w:eastAsia="Arial" w:hAnsi="Arial"/>
                <w:sz w:val="25"/>
                <w:szCs w:val="25"/>
                <w:color w:val="202124"/>
              </w:rPr>
              <w:t xml:space="preserve"> A</w:t>
            </w:r>
            <w:r>
              <w:rPr>
                <w:rFonts w:ascii="Arial" w:cs="Arial" w:eastAsia="Arial" w:hAnsi="Arial"/>
                <w:sz w:val="17"/>
                <w:szCs w:val="17"/>
                <w:color w:val="202124"/>
              </w:rPr>
              <w:t>uto</w:t>
            </w:r>
            <w:r>
              <w:rPr>
                <w:rFonts w:ascii="Arial" w:cs="Arial" w:eastAsia="Arial" w:hAnsi="Arial"/>
                <w:sz w:val="25"/>
                <w:szCs w:val="25"/>
                <w:color w:val="202124"/>
              </w:rPr>
              <w:t>Z</w:t>
            </w:r>
            <w:r>
              <w:rPr>
                <w:rFonts w:ascii="Arial" w:cs="Arial" w:eastAsia="Arial" w:hAnsi="Arial"/>
                <w:sz w:val="17"/>
                <w:szCs w:val="17"/>
                <w:color w:val="202124"/>
              </w:rPr>
              <w:t>oner always</w:t>
            </w:r>
            <w:r>
              <w:rPr>
                <w:rFonts w:ascii="Arial" w:cs="Arial" w:eastAsia="Arial" w:hAnsi="Arial"/>
                <w:sz w:val="25"/>
                <w:szCs w:val="25"/>
                <w:color w:val="202124"/>
              </w:rPr>
              <w:t xml:space="preserve"> </w:t>
            </w:r>
            <w:r>
              <w:rPr>
                <w:rFonts w:ascii="Arial" w:cs="Arial" w:eastAsia="Arial" w:hAnsi="Arial"/>
                <w:sz w:val="25"/>
                <w:szCs w:val="25"/>
                <w:b w:val="1"/>
                <w:bCs w:val="1"/>
                <w:color w:val="202124"/>
              </w:rPr>
              <w:t>STRIVES</w:t>
            </w: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300" w:type="dxa"/>
            <w:vAlign w:val="bottom"/>
          </w:tcPr>
          <w:p>
            <w:pPr>
              <w:spacing w:after="0"/>
              <w:rPr>
                <w:sz w:val="20"/>
                <w:szCs w:val="20"/>
                <w:color w:val="auto"/>
              </w:rPr>
            </w:pPr>
            <w:r>
              <w:rPr>
                <w:rFonts w:ascii="Arial" w:cs="Arial" w:eastAsia="Arial" w:hAnsi="Arial"/>
                <w:sz w:val="18"/>
                <w:szCs w:val="18"/>
                <w:color w:val="202124"/>
              </w:rPr>
              <w:t>basic tenet of AutoZone. We passionately pursue opportunities</w:t>
            </w:r>
          </w:p>
        </w:tc>
        <w:tc>
          <w:tcPr>
            <w:tcW w:w="100" w:type="dxa"/>
            <w:vAlign w:val="bottom"/>
            <w:shd w:val="clear" w:color="auto" w:fill="D9D9D9"/>
          </w:tcPr>
          <w:p>
            <w:pPr>
              <w:spacing w:after="0"/>
              <w:rPr>
                <w:sz w:val="21"/>
                <w:szCs w:val="21"/>
                <w:color w:val="auto"/>
              </w:rPr>
            </w:pPr>
          </w:p>
        </w:tc>
        <w:tc>
          <w:tcPr>
            <w:tcW w:w="100" w:type="dxa"/>
            <w:vAlign w:val="bottom"/>
          </w:tcPr>
          <w:p>
            <w:pPr>
              <w:spacing w:after="0"/>
              <w:rPr>
                <w:sz w:val="21"/>
                <w:szCs w:val="21"/>
                <w:color w:val="auto"/>
              </w:rPr>
            </w:pPr>
          </w:p>
        </w:tc>
        <w:tc>
          <w:tcPr>
            <w:tcW w:w="4120" w:type="dxa"/>
            <w:vAlign w:val="bottom"/>
            <w:gridSpan w:val="2"/>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line="157" w:lineRule="exact"/>
              <w:rPr>
                <w:sz w:val="20"/>
                <w:szCs w:val="20"/>
                <w:color w:val="auto"/>
              </w:rPr>
            </w:pPr>
            <w:r>
              <w:rPr>
                <w:rFonts w:ascii="Arial" w:cs="Arial" w:eastAsia="Arial" w:hAnsi="Arial"/>
                <w:sz w:val="18"/>
                <w:szCs w:val="18"/>
                <w:color w:val="202124"/>
              </w:rPr>
              <w:t>that provide a strong return on investment and exercise restraint</w:t>
            </w:r>
          </w:p>
        </w:tc>
        <w:tc>
          <w:tcPr>
            <w:tcW w:w="100" w:type="dxa"/>
            <w:vAlign w:val="bottom"/>
            <w:shd w:val="clear" w:color="auto" w:fill="D9D9D9"/>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2"/>
            <w:vMerge w:val="restart"/>
          </w:tcPr>
          <w:p>
            <w:pPr>
              <w:jc w:val="center"/>
              <w:ind w:right="60"/>
              <w:spacing w:after="0"/>
              <w:rPr>
                <w:sz w:val="20"/>
                <w:szCs w:val="20"/>
                <w:color w:val="auto"/>
              </w:rPr>
            </w:pPr>
            <w:r>
              <w:rPr>
                <w:rFonts w:ascii="Arial" w:cs="Arial" w:eastAsia="Arial" w:hAnsi="Arial"/>
                <w:sz w:val="25"/>
                <w:szCs w:val="25"/>
                <w:b w:val="1"/>
                <w:bCs w:val="1"/>
                <w:color w:val="202124"/>
              </w:rPr>
              <w:t>FOR EXCEPTIONAL</w:t>
            </w: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00" w:type="dxa"/>
            <w:vAlign w:val="bottom"/>
          </w:tcPr>
          <w:p>
            <w:pPr>
              <w:spacing w:after="0" w:line="183" w:lineRule="exact"/>
              <w:rPr>
                <w:sz w:val="20"/>
                <w:szCs w:val="20"/>
                <w:color w:val="auto"/>
              </w:rPr>
            </w:pPr>
            <w:r>
              <w:rPr>
                <w:rFonts w:ascii="Arial" w:cs="Arial" w:eastAsia="Arial" w:hAnsi="Arial"/>
                <w:sz w:val="18"/>
                <w:szCs w:val="18"/>
                <w:color w:val="202124"/>
              </w:rPr>
              <w:t>when presented with opportunities that we believe will not</w:t>
            </w:r>
          </w:p>
        </w:tc>
        <w:tc>
          <w:tcPr>
            <w:tcW w:w="100" w:type="dxa"/>
            <w:vAlign w:val="bottom"/>
            <w:shd w:val="clear" w:color="auto" w:fill="D9D9D9"/>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vMerge w:val="continue"/>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300" w:type="dxa"/>
            <w:vAlign w:val="bottom"/>
          </w:tcPr>
          <w:p>
            <w:pPr>
              <w:spacing w:after="0"/>
              <w:rPr>
                <w:sz w:val="20"/>
                <w:szCs w:val="20"/>
                <w:color w:val="auto"/>
              </w:rPr>
            </w:pPr>
            <w:r>
              <w:rPr>
                <w:rFonts w:ascii="Arial" w:cs="Arial" w:eastAsia="Arial" w:hAnsi="Arial"/>
                <w:sz w:val="18"/>
                <w:szCs w:val="18"/>
                <w:color w:val="202124"/>
              </w:rPr>
              <w:t>provide the returns that shareholders have come to expect from</w:t>
            </w:r>
          </w:p>
        </w:tc>
        <w:tc>
          <w:tcPr>
            <w:tcW w:w="100" w:type="dxa"/>
            <w:vAlign w:val="bottom"/>
            <w:shd w:val="clear" w:color="auto" w:fill="D9D9D9"/>
          </w:tcPr>
          <w:p>
            <w:pPr>
              <w:spacing w:after="0"/>
              <w:rPr>
                <w:sz w:val="22"/>
                <w:szCs w:val="22"/>
                <w:color w:val="auto"/>
              </w:rPr>
            </w:pPr>
          </w:p>
        </w:tc>
        <w:tc>
          <w:tcPr>
            <w:tcW w:w="100" w:type="dxa"/>
            <w:vAlign w:val="bottom"/>
          </w:tcPr>
          <w:p>
            <w:pPr>
              <w:spacing w:after="0"/>
              <w:rPr>
                <w:sz w:val="22"/>
                <w:szCs w:val="22"/>
                <w:color w:val="auto"/>
              </w:rPr>
            </w:pPr>
          </w:p>
        </w:tc>
        <w:tc>
          <w:tcPr>
            <w:tcW w:w="4120" w:type="dxa"/>
            <w:vAlign w:val="bottom"/>
            <w:gridSpan w:val="2"/>
          </w:tcPr>
          <w:p>
            <w:pPr>
              <w:jc w:val="center"/>
              <w:ind w:right="60"/>
              <w:spacing w:after="0" w:line="254" w:lineRule="exact"/>
              <w:rPr>
                <w:sz w:val="20"/>
                <w:szCs w:val="20"/>
                <w:color w:val="auto"/>
              </w:rPr>
            </w:pPr>
            <w:r>
              <w:rPr>
                <w:rFonts w:ascii="Arial" w:cs="Arial" w:eastAsia="Arial" w:hAnsi="Arial"/>
                <w:sz w:val="25"/>
                <w:szCs w:val="25"/>
                <w:b w:val="1"/>
                <w:bCs w:val="1"/>
                <w:color w:val="202124"/>
              </w:rPr>
              <w:t>PERFORMANCE</w:t>
            </w:r>
          </w:p>
        </w:tc>
        <w:tc>
          <w:tcPr>
            <w:tcW w:w="10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line="170" w:lineRule="exact"/>
              <w:rPr>
                <w:sz w:val="20"/>
                <w:szCs w:val="20"/>
                <w:color w:val="auto"/>
              </w:rPr>
            </w:pPr>
            <w:r>
              <w:rPr>
                <w:rFonts w:ascii="Arial" w:cs="Arial" w:eastAsia="Arial" w:hAnsi="Arial"/>
                <w:sz w:val="18"/>
                <w:szCs w:val="18"/>
                <w:color w:val="202124"/>
              </w:rPr>
              <w:t>us. While some refer to this approach as our disciplined capital</w:t>
            </w:r>
          </w:p>
        </w:tc>
        <w:tc>
          <w:tcPr>
            <w:tcW w:w="100" w:type="dxa"/>
            <w:vAlign w:val="bottom"/>
            <w:shd w:val="clear" w:color="auto" w:fill="D9D9D9"/>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5300" w:type="dxa"/>
            <w:vAlign w:val="bottom"/>
            <w:vMerge w:val="restart"/>
          </w:tcPr>
          <w:p>
            <w:pPr>
              <w:spacing w:after="0" w:line="202" w:lineRule="exact"/>
              <w:rPr>
                <w:sz w:val="20"/>
                <w:szCs w:val="20"/>
                <w:color w:val="auto"/>
              </w:rPr>
            </w:pPr>
            <w:r>
              <w:rPr>
                <w:rFonts w:ascii="Arial" w:cs="Arial" w:eastAsia="Arial" w:hAnsi="Arial"/>
                <w:sz w:val="18"/>
                <w:szCs w:val="18"/>
                <w:color w:val="202124"/>
              </w:rPr>
              <w:t xml:space="preserve">allocation strategy, at AutoZone, we simply call it </w:t>
            </w:r>
            <w:r>
              <w:rPr>
                <w:rFonts w:ascii="Arial" w:cs="Arial" w:eastAsia="Arial" w:hAnsi="Arial"/>
                <w:sz w:val="18"/>
                <w:szCs w:val="18"/>
                <w:i w:val="1"/>
                <w:iCs w:val="1"/>
                <w:color w:val="202124"/>
              </w:rPr>
              <w:t>Living our</w:t>
            </w:r>
          </w:p>
        </w:tc>
        <w:tc>
          <w:tcPr>
            <w:tcW w:w="100" w:type="dxa"/>
            <w:vAlign w:val="bottom"/>
            <w:tcBorders>
              <w:bottom w:val="single" w:sz="8" w:color="D9D9D9"/>
            </w:tcBorders>
            <w:shd w:val="clear" w:color="auto" w:fill="D9D9D9"/>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Borders>
              <w:bottom w:val="single" w:sz="8" w:color="F37F00"/>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D9D9D9"/>
            </w:tcBorders>
            <w:shd w:val="clear" w:color="auto" w:fill="D9D9D9"/>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5300" w:type="dxa"/>
            <w:vAlign w:val="bottom"/>
            <w:vMerge w:val="continue"/>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202124"/>
                <w:w w:val="99"/>
              </w:rPr>
              <w:t>Be accountable and honor your commitments. Act</w:t>
            </w: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line="181" w:lineRule="exact"/>
              <w:rPr>
                <w:sz w:val="20"/>
                <w:szCs w:val="20"/>
                <w:color w:val="auto"/>
              </w:rPr>
            </w:pPr>
            <w:r>
              <w:rPr>
                <w:rFonts w:ascii="Arial" w:cs="Arial" w:eastAsia="Arial" w:hAnsi="Arial"/>
                <w:sz w:val="18"/>
                <w:szCs w:val="18"/>
                <w:i w:val="1"/>
                <w:iCs w:val="1"/>
                <w:color w:val="202124"/>
              </w:rPr>
              <w:t>Pledge and Values</w:t>
            </w:r>
            <w:r>
              <w:rPr>
                <w:rFonts w:ascii="Arial" w:cs="Arial" w:eastAsia="Arial" w:hAnsi="Arial"/>
                <w:sz w:val="18"/>
                <w:szCs w:val="18"/>
                <w:color w:val="202124"/>
              </w:rPr>
              <w:t>. An AutoZoner always Strives for Exceptional</w:t>
            </w:r>
          </w:p>
        </w:tc>
        <w:tc>
          <w:tcPr>
            <w:tcW w:w="100" w:type="dxa"/>
            <w:vAlign w:val="bottom"/>
            <w:shd w:val="clear" w:color="auto" w:fill="D9D9D9"/>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vMerge w:val="continue"/>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202124"/>
              </w:rPr>
              <w:t>Performance. Our compensation programs are designed to</w:t>
            </w:r>
          </w:p>
        </w:tc>
        <w:tc>
          <w:tcPr>
            <w:tcW w:w="100" w:type="dxa"/>
            <w:vAlign w:val="bottom"/>
            <w:shd w:val="clear" w:color="auto" w:fill="D9D9D9"/>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202124"/>
                <w:w w:val="99"/>
              </w:rPr>
              <w:t>in a manner of the highest legal and ethical</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202124"/>
              </w:rPr>
              <w:t>incent behaviors that stand true to this basic principle of driving</w:t>
            </w:r>
          </w:p>
        </w:tc>
        <w:tc>
          <w:tcPr>
            <w:tcW w:w="100" w:type="dxa"/>
            <w:vAlign w:val="bottom"/>
            <w:shd w:val="clear" w:color="auto" w:fill="D9D9D9"/>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202124"/>
                <w:w w:val="99"/>
              </w:rPr>
              <w:t>standards. Use resources wisely and promote a</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202124"/>
              </w:rPr>
              <w:t>long-term shareholder value, by profitably investing in and</w:t>
            </w:r>
          </w:p>
        </w:tc>
        <w:tc>
          <w:tcPr>
            <w:tcW w:w="100" w:type="dxa"/>
            <w:vAlign w:val="bottom"/>
            <w:shd w:val="clear" w:color="auto" w:fill="D9D9D9"/>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202124"/>
                <w:w w:val="99"/>
              </w:rPr>
              <w:t>culture of thrift. Take strong initiative, act quickly</w:t>
            </w:r>
          </w:p>
        </w:tc>
        <w:tc>
          <w:tcPr>
            <w:tcW w:w="1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202124"/>
              </w:rPr>
              <w:t>growing our business and returning excess cash to our</w:t>
            </w:r>
          </w:p>
        </w:tc>
        <w:tc>
          <w:tcPr>
            <w:tcW w:w="100" w:type="dxa"/>
            <w:vAlign w:val="bottom"/>
            <w:shd w:val="clear" w:color="auto" w:fill="D9D9D9"/>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gridSpan w:val="2"/>
          </w:tcPr>
          <w:p>
            <w:pPr>
              <w:jc w:val="center"/>
              <w:ind w:right="60"/>
              <w:spacing w:after="0"/>
              <w:rPr>
                <w:sz w:val="20"/>
                <w:szCs w:val="20"/>
                <w:color w:val="auto"/>
              </w:rPr>
            </w:pPr>
            <w:r>
              <w:rPr>
                <w:rFonts w:ascii="Arial" w:cs="Arial" w:eastAsia="Arial" w:hAnsi="Arial"/>
                <w:sz w:val="18"/>
                <w:szCs w:val="18"/>
                <w:color w:val="202124"/>
                <w:w w:val="99"/>
              </w:rPr>
              <w:t>and do the job right the first time.</w:t>
            </w: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Arial" w:cs="Arial" w:eastAsia="Arial" w:hAnsi="Arial"/>
                <w:sz w:val="18"/>
                <w:szCs w:val="18"/>
                <w:color w:val="202124"/>
              </w:rPr>
              <w:t>shareholders.</w:t>
            </w:r>
          </w:p>
        </w:tc>
        <w:tc>
          <w:tcPr>
            <w:tcW w:w="100" w:type="dxa"/>
            <w:vAlign w:val="bottom"/>
            <w:shd w:val="clear" w:color="auto" w:fill="D9D9D9"/>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5300" w:type="dxa"/>
            <w:vAlign w:val="bottom"/>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300" w:type="dxa"/>
            <w:vAlign w:val="bottom"/>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4060" w:type="dxa"/>
            <w:vAlign w:val="bottom"/>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44   </w:t>
      </w:r>
      <w:r>
        <w:rPr>
          <w:sz w:val="1"/>
          <w:szCs w:val="1"/>
          <w:color w:val="auto"/>
        </w:rPr>
        <w:drawing>
          <wp:inline distT="0" distB="0" distL="0" distR="0">
            <wp:extent cx="1165860" cy="137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47" w:name="page48"/>
    <w:bookmarkEnd w:id="4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COMPENSATION ELEMENTS AND MIX</w:t>
      </w:r>
    </w:p>
    <w:p>
      <w:pPr>
        <w:spacing w:after="0" w:line="104" w:lineRule="exact"/>
        <w:rPr>
          <w:sz w:val="20"/>
          <w:szCs w:val="20"/>
          <w:color w:val="auto"/>
        </w:rPr>
      </w:pPr>
    </w:p>
    <w:p>
      <w:pPr>
        <w:ind w:left="640" w:right="240"/>
        <w:spacing w:after="0" w:line="253" w:lineRule="auto"/>
        <w:rPr>
          <w:sz w:val="20"/>
          <w:szCs w:val="20"/>
          <w:color w:val="auto"/>
        </w:rPr>
      </w:pPr>
      <w:r>
        <w:rPr>
          <w:rFonts w:ascii="Arial" w:cs="Arial" w:eastAsia="Arial" w:hAnsi="Arial"/>
          <w:sz w:val="18"/>
          <w:szCs w:val="18"/>
          <w:color w:val="202124"/>
        </w:rPr>
        <w:t>The Compensation Committee aims to align the executive compensation program with the interests of our stockholders and in a manner consistent with our Guiding Principles. The key elements of our executive compensation program, as well as the primary Guiding Principles promoted by each element, are summarized below.</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The program is designed to include an appropriate mix of different types of compensation as follows:</w:t>
      </w:r>
    </w:p>
    <w:p>
      <w:pPr>
        <w:spacing w:after="0" w:line="104" w:lineRule="exact"/>
        <w:rPr>
          <w:sz w:val="20"/>
          <w:szCs w:val="20"/>
          <w:color w:val="auto"/>
        </w:rPr>
      </w:pPr>
    </w:p>
    <w:p>
      <w:pPr>
        <w:ind w:left="1320" w:right="20" w:hanging="325"/>
        <w:spacing w:after="0" w:line="271" w:lineRule="auto"/>
        <w:tabs>
          <w:tab w:leader="none" w:pos="1320" w:val="left"/>
        </w:tabs>
        <w:numPr>
          <w:ilvl w:val="0"/>
          <w:numId w:val="67"/>
        </w:numPr>
        <w:rPr>
          <w:rFonts w:ascii="MS PGothic" w:cs="MS PGothic" w:eastAsia="MS PGothic" w:hAnsi="MS PGothic"/>
          <w:sz w:val="18"/>
          <w:szCs w:val="18"/>
          <w:color w:val="202124"/>
        </w:rPr>
      </w:pPr>
      <w:r>
        <w:rPr>
          <w:rFonts w:ascii="Arial" w:cs="Arial" w:eastAsia="Arial" w:hAnsi="Arial"/>
          <w:sz w:val="18"/>
          <w:szCs w:val="18"/>
          <w:color w:val="202124"/>
        </w:rPr>
        <w:t xml:space="preserve">a mix of </w:t>
      </w:r>
      <w:r>
        <w:rPr>
          <w:rFonts w:ascii="Arial" w:cs="Arial" w:eastAsia="Arial" w:hAnsi="Arial"/>
          <w:sz w:val="18"/>
          <w:szCs w:val="18"/>
          <w:b w:val="1"/>
          <w:bCs w:val="1"/>
          <w:color w:val="F37F00"/>
        </w:rPr>
        <w:t>short-term</w:t>
      </w:r>
      <w:r>
        <w:rPr>
          <w:rFonts w:ascii="Arial" w:cs="Arial" w:eastAsia="Arial" w:hAnsi="Arial"/>
          <w:sz w:val="18"/>
          <w:szCs w:val="18"/>
          <w:color w:val="202124"/>
        </w:rPr>
        <w:t xml:space="preserve"> and </w:t>
      </w:r>
      <w:r>
        <w:rPr>
          <w:rFonts w:ascii="Arial" w:cs="Arial" w:eastAsia="Arial" w:hAnsi="Arial"/>
          <w:sz w:val="18"/>
          <w:szCs w:val="18"/>
          <w:b w:val="1"/>
          <w:bCs w:val="1"/>
          <w:color w:val="F37F00"/>
        </w:rPr>
        <w:t>long-term</w:t>
      </w:r>
      <w:r>
        <w:rPr>
          <w:rFonts w:ascii="Arial" w:cs="Arial" w:eastAsia="Arial" w:hAnsi="Arial"/>
          <w:sz w:val="18"/>
          <w:szCs w:val="18"/>
          <w:color w:val="202124"/>
        </w:rPr>
        <w:t xml:space="preserve"> incentive compensation to align pay outcomes to both the achievement of our annual operating plan as well as our long-term strategy;</w:t>
      </w:r>
    </w:p>
    <w:p>
      <w:pPr>
        <w:spacing w:after="0" w:line="45" w:lineRule="exact"/>
        <w:rPr>
          <w:rFonts w:ascii="MS PGothic" w:cs="MS PGothic" w:eastAsia="MS PGothic" w:hAnsi="MS PGothic"/>
          <w:sz w:val="18"/>
          <w:szCs w:val="18"/>
          <w:color w:val="202124"/>
        </w:rPr>
      </w:pPr>
    </w:p>
    <w:p>
      <w:pPr>
        <w:ind w:left="1320" w:hanging="325"/>
        <w:spacing w:after="0"/>
        <w:tabs>
          <w:tab w:leader="none" w:pos="1320" w:val="left"/>
        </w:tabs>
        <w:numPr>
          <w:ilvl w:val="0"/>
          <w:numId w:val="67"/>
        </w:numPr>
        <w:rPr>
          <w:rFonts w:ascii="MS PGothic" w:cs="MS PGothic" w:eastAsia="MS PGothic" w:hAnsi="MS PGothic"/>
          <w:sz w:val="18"/>
          <w:szCs w:val="18"/>
          <w:color w:val="202124"/>
        </w:rPr>
      </w:pPr>
      <w:r>
        <w:rPr>
          <w:rFonts w:ascii="Arial" w:cs="Arial" w:eastAsia="Arial" w:hAnsi="Arial"/>
          <w:sz w:val="18"/>
          <w:szCs w:val="18"/>
          <w:color w:val="202124"/>
        </w:rPr>
        <w:t xml:space="preserve">a mix of </w:t>
      </w:r>
      <w:r>
        <w:rPr>
          <w:rFonts w:ascii="Arial" w:cs="Arial" w:eastAsia="Arial" w:hAnsi="Arial"/>
          <w:sz w:val="18"/>
          <w:szCs w:val="18"/>
          <w:b w:val="1"/>
          <w:bCs w:val="1"/>
          <w:color w:val="F37F00"/>
        </w:rPr>
        <w:t>cash</w:t>
      </w:r>
      <w:r>
        <w:rPr>
          <w:rFonts w:ascii="Arial" w:cs="Arial" w:eastAsia="Arial" w:hAnsi="Arial"/>
          <w:sz w:val="18"/>
          <w:szCs w:val="18"/>
          <w:color w:val="202124"/>
        </w:rPr>
        <w:t xml:space="preserve"> and </w:t>
      </w:r>
      <w:r>
        <w:rPr>
          <w:rFonts w:ascii="Arial" w:cs="Arial" w:eastAsia="Arial" w:hAnsi="Arial"/>
          <w:sz w:val="18"/>
          <w:szCs w:val="18"/>
          <w:b w:val="1"/>
          <w:bCs w:val="1"/>
          <w:color w:val="F37F00"/>
        </w:rPr>
        <w:t>equity</w:t>
      </w:r>
      <w:r>
        <w:rPr>
          <w:rFonts w:ascii="Arial" w:cs="Arial" w:eastAsia="Arial" w:hAnsi="Arial"/>
          <w:sz w:val="18"/>
          <w:szCs w:val="18"/>
          <w:color w:val="202124"/>
        </w:rPr>
        <w:t xml:space="preserve"> compensation to align interests of our executives with those of our stockholders; and</w:t>
      </w:r>
    </w:p>
    <w:p>
      <w:pPr>
        <w:spacing w:after="0" w:line="117" w:lineRule="exact"/>
        <w:rPr>
          <w:rFonts w:ascii="MS PGothic" w:cs="MS PGothic" w:eastAsia="MS PGothic" w:hAnsi="MS PGothic"/>
          <w:sz w:val="18"/>
          <w:szCs w:val="18"/>
          <w:color w:val="202124"/>
        </w:rPr>
      </w:pPr>
    </w:p>
    <w:p>
      <w:pPr>
        <w:ind w:left="1320" w:right="200" w:hanging="325"/>
        <w:spacing w:after="0" w:line="271" w:lineRule="auto"/>
        <w:tabs>
          <w:tab w:leader="none" w:pos="1320" w:val="left"/>
        </w:tabs>
        <w:numPr>
          <w:ilvl w:val="0"/>
          <w:numId w:val="67"/>
        </w:numPr>
        <w:rPr>
          <w:rFonts w:ascii="MS PGothic" w:cs="MS PGothic" w:eastAsia="MS PGothic" w:hAnsi="MS PGothic"/>
          <w:sz w:val="18"/>
          <w:szCs w:val="18"/>
          <w:color w:val="202124"/>
        </w:rPr>
      </w:pPr>
      <w:r>
        <w:rPr>
          <w:rFonts w:ascii="Arial" w:cs="Arial" w:eastAsia="Arial" w:hAnsi="Arial"/>
          <w:sz w:val="18"/>
          <w:szCs w:val="18"/>
          <w:color w:val="202124"/>
        </w:rPr>
        <w:t xml:space="preserve">a mix of </w:t>
      </w:r>
      <w:r>
        <w:rPr>
          <w:rFonts w:ascii="Arial" w:cs="Arial" w:eastAsia="Arial" w:hAnsi="Arial"/>
          <w:sz w:val="18"/>
          <w:szCs w:val="18"/>
          <w:b w:val="1"/>
          <w:bCs w:val="1"/>
          <w:color w:val="F37F00"/>
        </w:rPr>
        <w:t>fixed</w:t>
      </w:r>
      <w:r>
        <w:rPr>
          <w:rFonts w:ascii="Arial" w:cs="Arial" w:eastAsia="Arial" w:hAnsi="Arial"/>
          <w:sz w:val="18"/>
          <w:szCs w:val="18"/>
          <w:color w:val="202124"/>
        </w:rPr>
        <w:t xml:space="preserve"> and </w:t>
      </w:r>
      <w:r>
        <w:rPr>
          <w:rFonts w:ascii="Arial" w:cs="Arial" w:eastAsia="Arial" w:hAnsi="Arial"/>
          <w:sz w:val="18"/>
          <w:szCs w:val="18"/>
          <w:b w:val="1"/>
          <w:bCs w:val="1"/>
          <w:color w:val="F37F00"/>
        </w:rPr>
        <w:t>variable</w:t>
      </w:r>
      <w:r>
        <w:rPr>
          <w:rFonts w:ascii="Arial" w:cs="Arial" w:eastAsia="Arial" w:hAnsi="Arial"/>
          <w:sz w:val="18"/>
          <w:szCs w:val="18"/>
          <w:color w:val="202124"/>
        </w:rPr>
        <w:t xml:space="preserve"> compensation, to promote the achievement of rigorous goals without excessive risk taking.</w:t>
      </w:r>
    </w:p>
    <w:p>
      <w:pPr>
        <w:spacing w:after="0" w:line="235" w:lineRule="exact"/>
        <w:rPr>
          <w:sz w:val="20"/>
          <w:szCs w:val="20"/>
          <w:color w:val="auto"/>
        </w:rPr>
      </w:pPr>
    </w:p>
    <w:p>
      <w:pPr>
        <w:ind w:left="3320"/>
        <w:spacing w:after="0"/>
        <w:tabs>
          <w:tab w:leader="none" w:pos="8380" w:val="left"/>
        </w:tabs>
        <w:rPr>
          <w:sz w:val="20"/>
          <w:szCs w:val="20"/>
          <w:color w:val="auto"/>
        </w:rPr>
      </w:pPr>
      <w:r>
        <w:rPr>
          <w:rFonts w:ascii="Arial" w:cs="Arial" w:eastAsia="Arial" w:hAnsi="Arial"/>
          <w:sz w:val="18"/>
          <w:szCs w:val="18"/>
          <w:b w:val="1"/>
          <w:bCs w:val="1"/>
          <w:color w:val="202124"/>
        </w:rPr>
        <w:t>Compensation Components</w:t>
      </w:r>
      <w:r>
        <w:rPr>
          <w:sz w:val="20"/>
          <w:szCs w:val="20"/>
          <w:color w:val="auto"/>
        </w:rPr>
        <w:tab/>
      </w:r>
      <w:r>
        <w:rPr>
          <w:rFonts w:ascii="Arial" w:cs="Arial" w:eastAsia="Arial" w:hAnsi="Arial"/>
          <w:sz w:val="17"/>
          <w:szCs w:val="17"/>
          <w:b w:val="1"/>
          <w:bCs w:val="1"/>
          <w:color w:val="202124"/>
        </w:rPr>
        <w:t>Guiding Principles</w:t>
      </w:r>
    </w:p>
    <w:p>
      <w:pPr>
        <w:spacing w:after="0" w:line="1" w:lineRule="exact"/>
        <w:rPr>
          <w:sz w:val="20"/>
          <w:szCs w:val="20"/>
          <w:color w:val="auto"/>
        </w:rPr>
      </w:pPr>
    </w:p>
    <w:p>
      <w:pPr>
        <w:ind w:left="780"/>
        <w:spacing w:after="0"/>
        <w:tabs>
          <w:tab w:leader="none" w:pos="2440" w:val="left"/>
          <w:tab w:leader="none" w:pos="2760" w:val="left"/>
        </w:tabs>
        <w:rPr>
          <w:sz w:val="20"/>
          <w:szCs w:val="20"/>
          <w:color w:val="auto"/>
        </w:rPr>
      </w:pPr>
      <w:r>
        <w:rPr>
          <w:rFonts w:ascii="Arial" w:cs="Arial" w:eastAsia="Arial" w:hAnsi="Arial"/>
          <w:sz w:val="35"/>
          <w:szCs w:val="35"/>
          <w:b w:val="1"/>
          <w:bCs w:val="1"/>
          <w:color w:val="F37F00"/>
          <w:vertAlign w:val="subscript"/>
        </w:rPr>
        <w:t>BASE SALARY</w:t>
      </w:r>
      <w:r>
        <w:rPr>
          <w:sz w:val="20"/>
          <w:szCs w:val="20"/>
          <w:color w:val="auto"/>
        </w:rPr>
        <w:tab/>
      </w:r>
      <w:r>
        <w:rPr>
          <w:rFonts w:ascii="Times New Roman" w:cs="Times New Roman" w:eastAsia="Times New Roman" w:hAnsi="Times New Roman"/>
          <w:sz w:val="18"/>
          <w:szCs w:val="18"/>
          <w:color w:val="F37F00"/>
        </w:rPr>
        <w:t>●</w:t>
      </w:r>
      <w:r>
        <w:rPr>
          <w:sz w:val="20"/>
          <w:szCs w:val="20"/>
          <w:color w:val="auto"/>
        </w:rPr>
        <w:tab/>
      </w:r>
      <w:r>
        <w:rPr>
          <w:rFonts w:ascii="Arial" w:cs="Arial" w:eastAsia="Arial" w:hAnsi="Arial"/>
          <w:sz w:val="18"/>
          <w:szCs w:val="18"/>
          <w:color w:val="202124"/>
        </w:rPr>
        <w:t>Fixed cash compensation typically below median</w:t>
      </w:r>
    </w:p>
    <w:p>
      <w:pPr>
        <w:ind w:left="2780" w:right="2480" w:hanging="318"/>
        <w:spacing w:after="0" w:line="244" w:lineRule="auto"/>
        <w:tabs>
          <w:tab w:leader="none" w:pos="2780" w:val="left"/>
        </w:tabs>
        <w:numPr>
          <w:ilvl w:val="0"/>
          <w:numId w:val="68"/>
        </w:numPr>
        <w:rPr>
          <w:rFonts w:ascii="Times New Roman" w:cs="Times New Roman" w:eastAsia="Times New Roman" w:hAnsi="Times New Roman"/>
          <w:sz w:val="18"/>
          <w:szCs w:val="18"/>
          <w:color w:val="F37F00"/>
        </w:rPr>
      </w:pPr>
      <w:r>
        <w:rPr>
          <w:rFonts w:ascii="Arial" w:cs="Arial" w:eastAsia="Arial" w:hAnsi="Arial"/>
          <w:sz w:val="18"/>
          <w:szCs w:val="18"/>
          <w:color w:val="202124"/>
        </w:rPr>
        <w:t>Allows AutoZone to attract and retain highly qualified executives through the delivery of stable, cash compensation</w:t>
      </w:r>
    </w:p>
    <w:p>
      <w:pPr>
        <w:ind w:left="2460"/>
        <w:spacing w:after="0" w:line="185" w:lineRule="auto"/>
        <w:tabs>
          <w:tab w:leader="none" w:pos="2760" w:val="left"/>
          <w:tab w:leader="none" w:pos="9200" w:val="left"/>
        </w:tabs>
        <w:rPr>
          <w:sz w:val="20"/>
          <w:szCs w:val="20"/>
          <w:color w:val="auto"/>
        </w:rPr>
      </w:pPr>
      <w:r>
        <w:rPr>
          <w:rFonts w:ascii="Times New Roman" w:cs="Times New Roman" w:eastAsia="Times New Roman" w:hAnsi="Times New Roman"/>
          <w:sz w:val="18"/>
          <w:szCs w:val="18"/>
          <w:color w:val="F37F00"/>
        </w:rPr>
        <w:t>●</w:t>
      </w:r>
      <w:r>
        <w:rPr>
          <w:sz w:val="20"/>
          <w:szCs w:val="20"/>
          <w:color w:val="auto"/>
        </w:rPr>
        <w:tab/>
      </w:r>
      <w:r>
        <w:rPr>
          <w:rFonts w:ascii="Arial" w:cs="Arial" w:eastAsia="Arial" w:hAnsi="Arial"/>
          <w:sz w:val="18"/>
          <w:szCs w:val="18"/>
          <w:color w:val="202124"/>
        </w:rPr>
        <w:t>Salaries reflect individual’s level of responsibility and experience,</w:t>
      </w:r>
      <w:r>
        <w:rPr>
          <w:sz w:val="20"/>
          <w:szCs w:val="20"/>
          <w:color w:val="auto"/>
        </w:rPr>
        <w:tab/>
      </w:r>
      <w:r>
        <w:rPr>
          <w:rFonts w:ascii="Arial" w:cs="Arial" w:eastAsia="Arial" w:hAnsi="Arial"/>
          <w:sz w:val="27"/>
          <w:szCs w:val="27"/>
          <w:b w:val="1"/>
          <w:bCs w:val="1"/>
          <w:color w:val="202124"/>
          <w:vertAlign w:val="subscript"/>
        </w:rPr>
        <w:t>​​</w:t>
      </w:r>
    </w:p>
    <w:p>
      <w:pPr>
        <w:spacing w:after="0" w:line="1" w:lineRule="exact"/>
        <w:rPr>
          <w:sz w:val="20"/>
          <w:szCs w:val="20"/>
          <w:color w:val="auto"/>
        </w:rPr>
      </w:pPr>
    </w:p>
    <w:p>
      <w:pPr>
        <w:ind w:left="2780" w:right="2600"/>
        <w:spacing w:after="0" w:line="250" w:lineRule="auto"/>
        <w:rPr>
          <w:sz w:val="20"/>
          <w:szCs w:val="20"/>
          <w:color w:val="auto"/>
        </w:rPr>
      </w:pPr>
      <w:r>
        <w:rPr>
          <w:rFonts w:ascii="Arial" w:cs="Arial" w:eastAsia="Arial" w:hAnsi="Arial"/>
          <w:sz w:val="18"/>
          <w:szCs w:val="18"/>
          <w:color w:val="202124"/>
        </w:rPr>
        <w:t>scope and complexity of position, market data and internal pay equity</w:t>
      </w:r>
    </w:p>
    <w:p>
      <w:pPr>
        <w:sectPr>
          <w:pgSz w:w="11900" w:h="16838" w:orient="portrait"/>
          <w:cols w:equalWidth="0" w:num="1">
            <w:col w:w="10360"/>
          </w:cols>
          <w:pgMar w:left="440" w:top="106" w:right="1099" w:bottom="1440" w:gutter="0" w:footer="0" w:header="0"/>
        </w:sectPr>
      </w:pPr>
    </w:p>
    <w:p>
      <w:pPr>
        <w:spacing w:after="0" w:line="307" w:lineRule="exact"/>
        <w:rPr>
          <w:sz w:val="20"/>
          <w:szCs w:val="20"/>
          <w:color w:val="auto"/>
        </w:rPr>
      </w:pPr>
    </w:p>
    <w:p>
      <w:pPr>
        <w:ind w:left="780"/>
        <w:spacing w:after="0" w:line="311" w:lineRule="auto"/>
        <w:rPr>
          <w:sz w:val="20"/>
          <w:szCs w:val="20"/>
          <w:color w:val="auto"/>
        </w:rPr>
      </w:pPr>
      <w:r>
        <w:rPr>
          <w:rFonts w:ascii="Arial" w:cs="Arial" w:eastAsia="Arial" w:hAnsi="Arial"/>
          <w:sz w:val="17"/>
          <w:szCs w:val="17"/>
          <w:b w:val="1"/>
          <w:bCs w:val="1"/>
          <w:color w:val="F37F00"/>
        </w:rPr>
        <w:t>ANNUAL INCENTIVE PLAN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F37F00"/>
              </w:rPr>
              <w:t>●</w:t>
            </w:r>
          </w:p>
        </w:tc>
        <w:tc>
          <w:tcPr>
            <w:tcW w:w="5940" w:type="dxa"/>
            <w:vAlign w:val="bottom"/>
          </w:tcPr>
          <w:p>
            <w:pPr>
              <w:ind w:left="100"/>
              <w:spacing w:after="0"/>
              <w:rPr>
                <w:sz w:val="20"/>
                <w:szCs w:val="20"/>
                <w:color w:val="auto"/>
              </w:rPr>
            </w:pPr>
            <w:r>
              <w:rPr>
                <w:rFonts w:ascii="Arial" w:cs="Arial" w:eastAsia="Arial" w:hAnsi="Arial"/>
                <w:sz w:val="18"/>
                <w:szCs w:val="18"/>
                <w:color w:val="202124"/>
              </w:rPr>
              <w:t>Variable cash compensation</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F37F00"/>
              </w:rPr>
              <w:t>●</w:t>
            </w:r>
          </w:p>
        </w:tc>
        <w:tc>
          <w:tcPr>
            <w:tcW w:w="5940" w:type="dxa"/>
            <w:vAlign w:val="bottom"/>
          </w:tcPr>
          <w:p>
            <w:pPr>
              <w:ind w:left="100"/>
              <w:spacing w:after="0"/>
              <w:rPr>
                <w:sz w:val="20"/>
                <w:szCs w:val="20"/>
                <w:color w:val="auto"/>
              </w:rPr>
            </w:pPr>
            <w:r>
              <w:rPr>
                <w:rFonts w:ascii="Arial" w:cs="Arial" w:eastAsia="Arial" w:hAnsi="Arial"/>
                <w:sz w:val="18"/>
                <w:szCs w:val="18"/>
                <w:color w:val="202124"/>
              </w:rPr>
              <w:t>Drives short-term Company performance</w:t>
            </w: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F37F00"/>
              </w:rPr>
              <w:t>●</w:t>
            </w:r>
          </w:p>
        </w:tc>
        <w:tc>
          <w:tcPr>
            <w:tcW w:w="5940" w:type="dxa"/>
            <w:vAlign w:val="bottom"/>
          </w:tcPr>
          <w:p>
            <w:pPr>
              <w:ind w:left="100"/>
              <w:spacing w:after="0"/>
              <w:rPr>
                <w:sz w:val="20"/>
                <w:szCs w:val="20"/>
                <w:color w:val="auto"/>
              </w:rPr>
            </w:pPr>
            <w:r>
              <w:rPr>
                <w:rFonts w:ascii="Arial" w:cs="Arial" w:eastAsia="Arial" w:hAnsi="Arial"/>
                <w:sz w:val="18"/>
                <w:szCs w:val="18"/>
                <w:color w:val="202124"/>
              </w:rPr>
              <w:t>Payout is based upon performance against pre-established, realistic,</w:t>
            </w:r>
          </w:p>
        </w:tc>
        <w:tc>
          <w:tcPr>
            <w:tcW w:w="700" w:type="dxa"/>
            <w:vAlign w:val="bottom"/>
            <w:vMerge w:val="restart"/>
          </w:tcPr>
          <w:p>
            <w:pPr>
              <w:ind w:left="360"/>
              <w:spacing w:after="0"/>
              <w:rPr>
                <w:sz w:val="20"/>
                <w:szCs w:val="20"/>
                <w:color w:val="auto"/>
              </w:rPr>
            </w:pPr>
            <w:r>
              <w:rPr>
                <w:rFonts w:ascii="Arial" w:cs="Arial" w:eastAsia="Arial" w:hAnsi="Arial"/>
                <w:sz w:val="20"/>
                <w:szCs w:val="20"/>
                <w:b w:val="1"/>
                <w:bCs w:val="1"/>
                <w:color w:val="202124"/>
              </w:rPr>
              <w:t>​​</w:t>
            </w:r>
          </w:p>
        </w:tc>
        <w:tc>
          <w:tcPr>
            <w:tcW w:w="340" w:type="dxa"/>
            <w:vAlign w:val="bottom"/>
            <w:vMerge w:val="restart"/>
          </w:tcPr>
          <w:p>
            <w:pPr>
              <w:ind w:left="240"/>
              <w:spacing w:after="0"/>
              <w:rPr>
                <w:sz w:val="20"/>
                <w:szCs w:val="20"/>
                <w:color w:val="auto"/>
              </w:rPr>
            </w:pPr>
            <w:r>
              <w:rPr>
                <w:rFonts w:ascii="Arial" w:cs="Arial" w:eastAsia="Arial" w:hAnsi="Arial"/>
                <w:sz w:val="20"/>
                <w:szCs w:val="20"/>
                <w:b w:val="1"/>
                <w:bCs w:val="1"/>
                <w:color w:val="202124"/>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940" w:type="dxa"/>
            <w:vAlign w:val="bottom"/>
          </w:tcPr>
          <w:p>
            <w:pPr>
              <w:ind w:left="100"/>
              <w:spacing w:after="0" w:line="202" w:lineRule="exact"/>
              <w:rPr>
                <w:sz w:val="20"/>
                <w:szCs w:val="20"/>
                <w:color w:val="auto"/>
              </w:rPr>
            </w:pPr>
            <w:r>
              <w:rPr>
                <w:rFonts w:ascii="Arial" w:cs="Arial" w:eastAsia="Arial" w:hAnsi="Arial"/>
                <w:sz w:val="18"/>
                <w:szCs w:val="18"/>
                <w:color w:val="202124"/>
              </w:rPr>
              <w:t>team-based financial goals of EBIT and ROIC, as drivers of</w:t>
            </w:r>
          </w:p>
        </w:tc>
        <w:tc>
          <w:tcPr>
            <w:tcW w:w="7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202124"/>
              </w:rPr>
              <w:t>economic profit</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80" w:space="180"/>
            <w:col w:w="7900"/>
          </w:cols>
          <w:pgMar w:left="440" w:top="106" w:right="1099" w:bottom="1440" w:gutter="0" w:footer="0" w:header="0"/>
          <w:type w:val="continuous"/>
        </w:sectPr>
      </w:pPr>
    </w:p>
    <w:p>
      <w:pPr>
        <w:spacing w:after="0" w:line="61" w:lineRule="exact"/>
        <w:rPr>
          <w:sz w:val="20"/>
          <w:szCs w:val="20"/>
          <w:color w:val="auto"/>
        </w:rPr>
      </w:pPr>
    </w:p>
    <w:p>
      <w:pPr>
        <w:ind w:left="780"/>
        <w:spacing w:after="0" w:line="311" w:lineRule="auto"/>
        <w:rPr>
          <w:sz w:val="20"/>
          <w:szCs w:val="20"/>
          <w:color w:val="auto"/>
        </w:rPr>
      </w:pPr>
      <w:r>
        <w:rPr>
          <w:rFonts w:ascii="Arial" w:cs="Arial" w:eastAsia="Arial" w:hAnsi="Arial"/>
          <w:sz w:val="17"/>
          <w:szCs w:val="17"/>
          <w:b w:val="1"/>
          <w:bCs w:val="1"/>
          <w:color w:val="F37F00"/>
        </w:rPr>
        <w:t>LONG-TERM INCENTIVE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F37F00"/>
              </w:rPr>
              <w:t>●</w:t>
            </w:r>
          </w:p>
        </w:tc>
        <w:tc>
          <w:tcPr>
            <w:tcW w:w="5880" w:type="dxa"/>
            <w:vAlign w:val="bottom"/>
          </w:tcPr>
          <w:p>
            <w:pPr>
              <w:ind w:left="100"/>
              <w:spacing w:after="0"/>
              <w:rPr>
                <w:sz w:val="20"/>
                <w:szCs w:val="20"/>
                <w:color w:val="auto"/>
              </w:rPr>
            </w:pPr>
            <w:r>
              <w:rPr>
                <w:rFonts w:ascii="Arial" w:cs="Arial" w:eastAsia="Arial" w:hAnsi="Arial"/>
                <w:sz w:val="18"/>
                <w:szCs w:val="18"/>
                <w:color w:val="202124"/>
              </w:rPr>
              <w:t>Variable equity compensation, subject to holding and vesting</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9"/>
        </w:trPr>
        <w:tc>
          <w:tcPr>
            <w:tcW w:w="2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202124"/>
              </w:rPr>
              <w:t>requirements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F37F00"/>
              </w:rPr>
              <w:t>●</w:t>
            </w:r>
          </w:p>
        </w:tc>
        <w:tc>
          <w:tcPr>
            <w:tcW w:w="5880" w:type="dxa"/>
            <w:vAlign w:val="bottom"/>
          </w:tcPr>
          <w:p>
            <w:pPr>
              <w:ind w:left="100"/>
              <w:spacing w:after="0"/>
              <w:rPr>
                <w:sz w:val="20"/>
                <w:szCs w:val="20"/>
                <w:color w:val="auto"/>
              </w:rPr>
            </w:pPr>
            <w:r>
              <w:rPr>
                <w:rFonts w:ascii="Arial" w:cs="Arial" w:eastAsia="Arial" w:hAnsi="Arial"/>
                <w:sz w:val="18"/>
                <w:szCs w:val="18"/>
                <w:color w:val="202124"/>
              </w:rPr>
              <w:t>Drives long-term performance</w:t>
            </w: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F37F00"/>
              </w:rPr>
              <w:t>●</w:t>
            </w:r>
          </w:p>
        </w:tc>
        <w:tc>
          <w:tcPr>
            <w:tcW w:w="5880" w:type="dxa"/>
            <w:vAlign w:val="bottom"/>
          </w:tcPr>
          <w:p>
            <w:pPr>
              <w:ind w:left="100"/>
              <w:spacing w:after="0"/>
              <w:rPr>
                <w:sz w:val="20"/>
                <w:szCs w:val="20"/>
                <w:color w:val="auto"/>
              </w:rPr>
            </w:pPr>
            <w:r>
              <w:rPr>
                <w:rFonts w:ascii="Arial" w:cs="Arial" w:eastAsia="Arial" w:hAnsi="Arial"/>
                <w:sz w:val="18"/>
                <w:szCs w:val="18"/>
                <w:color w:val="202124"/>
              </w:rPr>
              <w:t>Directly aligns executives’ interests with stockholders by rewarding</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3"/>
        </w:trPr>
        <w:tc>
          <w:tcPr>
            <w:tcW w:w="220" w:type="dxa"/>
            <w:vAlign w:val="bottom"/>
          </w:tcPr>
          <w:p>
            <w:pPr>
              <w:spacing w:after="0"/>
              <w:rPr>
                <w:sz w:val="17"/>
                <w:szCs w:val="17"/>
                <w:color w:val="auto"/>
              </w:rPr>
            </w:pPr>
          </w:p>
        </w:tc>
        <w:tc>
          <w:tcPr>
            <w:tcW w:w="5880" w:type="dxa"/>
            <w:vAlign w:val="bottom"/>
          </w:tcPr>
          <w:p>
            <w:pPr>
              <w:ind w:left="100"/>
              <w:spacing w:after="0" w:line="202" w:lineRule="exact"/>
              <w:rPr>
                <w:sz w:val="20"/>
                <w:szCs w:val="20"/>
                <w:color w:val="auto"/>
              </w:rPr>
            </w:pPr>
            <w:r>
              <w:rPr>
                <w:rFonts w:ascii="Arial" w:cs="Arial" w:eastAsia="Arial" w:hAnsi="Arial"/>
                <w:sz w:val="18"/>
                <w:szCs w:val="18"/>
                <w:color w:val="202124"/>
              </w:rPr>
              <w:t>long-term value creation as measured by stock price appreciation</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202124"/>
              </w:rPr>
              <w:t>using stock options or in certain unique cases, restricted stock units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F37F00"/>
              </w:rPr>
              <w:t>●</w:t>
            </w:r>
          </w:p>
        </w:tc>
        <w:tc>
          <w:tcPr>
            <w:tcW w:w="5880" w:type="dxa"/>
            <w:vAlign w:val="bottom"/>
          </w:tcPr>
          <w:p>
            <w:pPr>
              <w:ind w:left="100"/>
              <w:spacing w:after="0"/>
              <w:rPr>
                <w:sz w:val="20"/>
                <w:szCs w:val="20"/>
                <w:color w:val="auto"/>
              </w:rPr>
            </w:pPr>
            <w:r>
              <w:rPr>
                <w:rFonts w:ascii="Arial" w:cs="Arial" w:eastAsia="Arial" w:hAnsi="Arial"/>
                <w:sz w:val="18"/>
                <w:szCs w:val="18"/>
                <w:color w:val="202124"/>
              </w:rPr>
              <w:t>Due to the share buyback program, each year, we are effectively</w:t>
            </w:r>
          </w:p>
        </w:tc>
        <w:tc>
          <w:tcPr>
            <w:tcW w:w="760" w:type="dxa"/>
            <w:vAlign w:val="bottom"/>
          </w:tcPr>
          <w:p>
            <w:pPr>
              <w:ind w:left="420"/>
              <w:spacing w:after="0"/>
              <w:rPr>
                <w:sz w:val="20"/>
                <w:szCs w:val="20"/>
                <w:color w:val="auto"/>
              </w:rPr>
            </w:pPr>
            <w:r>
              <w:rPr>
                <w:rFonts w:ascii="Arial" w:cs="Arial" w:eastAsia="Arial" w:hAnsi="Arial"/>
                <w:sz w:val="20"/>
                <w:szCs w:val="20"/>
                <w:b w:val="1"/>
                <w:bCs w:val="1"/>
                <w:color w:val="202124"/>
              </w:rPr>
              <w:t>​​</w:t>
            </w:r>
          </w:p>
        </w:tc>
        <w:tc>
          <w:tcPr>
            <w:tcW w:w="340" w:type="dxa"/>
            <w:vAlign w:val="bottom"/>
          </w:tcPr>
          <w:p>
            <w:pPr>
              <w:ind w:left="240"/>
              <w:spacing w:after="0"/>
              <w:rPr>
                <w:sz w:val="20"/>
                <w:szCs w:val="20"/>
                <w:color w:val="auto"/>
              </w:rPr>
            </w:pPr>
            <w:r>
              <w:rPr>
                <w:rFonts w:ascii="Arial" w:cs="Arial" w:eastAsia="Arial" w:hAnsi="Arial"/>
                <w:sz w:val="20"/>
                <w:szCs w:val="20"/>
                <w:b w:val="1"/>
                <w:bCs w:val="1"/>
                <w:color w:val="202124"/>
              </w:rPr>
              <w:t>​​</w:t>
            </w:r>
          </w:p>
        </w:tc>
      </w:tr>
      <w:tr>
        <w:trPr>
          <w:trHeight w:val="185"/>
        </w:trPr>
        <w:tc>
          <w:tcPr>
            <w:tcW w:w="220" w:type="dxa"/>
            <w:vAlign w:val="bottom"/>
          </w:tcPr>
          <w:p>
            <w:pPr>
              <w:spacing w:after="0"/>
              <w:rPr>
                <w:sz w:val="16"/>
                <w:szCs w:val="16"/>
                <w:color w:val="auto"/>
              </w:rPr>
            </w:pPr>
          </w:p>
        </w:tc>
        <w:tc>
          <w:tcPr>
            <w:tcW w:w="5880" w:type="dxa"/>
            <w:vAlign w:val="bottom"/>
          </w:tcPr>
          <w:p>
            <w:pPr>
              <w:ind w:left="100"/>
              <w:spacing w:after="0" w:line="184" w:lineRule="exact"/>
              <w:rPr>
                <w:sz w:val="20"/>
                <w:szCs w:val="20"/>
                <w:color w:val="auto"/>
              </w:rPr>
            </w:pPr>
            <w:r>
              <w:rPr>
                <w:rFonts w:ascii="Arial" w:cs="Arial" w:eastAsia="Arial" w:hAnsi="Arial"/>
                <w:sz w:val="18"/>
                <w:szCs w:val="18"/>
                <w:color w:val="202124"/>
              </w:rPr>
              <w:t>reducing the number of stock options we grant as the grant pool is</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9"/>
        </w:trPr>
        <w:tc>
          <w:tcPr>
            <w:tcW w:w="2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202124"/>
              </w:rPr>
              <w:t>based on a fixed percentage of shares outstanding</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18" w:lineRule="exact"/>
        <w:rPr>
          <w:sz w:val="20"/>
          <w:szCs w:val="20"/>
          <w:color w:val="auto"/>
        </w:rPr>
      </w:pPr>
    </w:p>
    <w:p>
      <w:pPr>
        <w:ind w:left="320" w:right="2220" w:hanging="318"/>
        <w:spacing w:after="0" w:line="270" w:lineRule="auto"/>
        <w:tabs>
          <w:tab w:leader="none" w:pos="320" w:val="left"/>
        </w:tabs>
        <w:numPr>
          <w:ilvl w:val="0"/>
          <w:numId w:val="69"/>
        </w:numPr>
        <w:rPr>
          <w:rFonts w:ascii="Times New Roman" w:cs="Times New Roman" w:eastAsia="Times New Roman" w:hAnsi="Times New Roman"/>
          <w:sz w:val="18"/>
          <w:szCs w:val="18"/>
          <w:color w:val="F37F00"/>
        </w:rPr>
      </w:pPr>
      <w:r>
        <w:rPr>
          <w:rFonts w:ascii="Arial" w:cs="Arial" w:eastAsia="Arial" w:hAnsi="Arial"/>
          <w:sz w:val="18"/>
          <w:szCs w:val="18"/>
          <w:color w:val="202124"/>
        </w:rPr>
        <w:t>Our option holders hold their vested options for long periods of time further reinforcing our ownership culture.</w:t>
      </w:r>
    </w:p>
    <w:p>
      <w:pPr>
        <w:spacing w:after="0" w:line="200" w:lineRule="exact"/>
        <w:rPr>
          <w:sz w:val="20"/>
          <w:szCs w:val="20"/>
          <w:color w:val="auto"/>
        </w:rPr>
      </w:pPr>
    </w:p>
    <w:p>
      <w:pPr>
        <w:sectPr>
          <w:pgSz w:w="11900" w:h="16838" w:orient="portrait"/>
          <w:cols w:equalWidth="0" w:num="2">
            <w:col w:w="2280" w:space="180"/>
            <w:col w:w="7900"/>
          </w:cols>
          <w:pgMar w:left="440" w:top="106" w:right="1099" w:bottom="1440" w:gutter="0" w:footer="0" w:header="0"/>
          <w:type w:val="continuous"/>
        </w:sectPr>
      </w:pP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1440" w:type="dxa"/>
            <w:vAlign w:val="bottom"/>
            <w:tcBorders>
              <w:top w:val="single" w:sz="8" w:color="F37F00"/>
            </w:tcBorders>
          </w:tcPr>
          <w:p>
            <w:pPr>
              <w:spacing w:after="0"/>
              <w:rPr>
                <w:sz w:val="20"/>
                <w:szCs w:val="20"/>
                <w:color w:val="auto"/>
              </w:rPr>
            </w:pPr>
            <w:r>
              <w:rPr>
                <w:rFonts w:ascii="Arial" w:cs="Arial" w:eastAsia="Arial" w:hAnsi="Arial"/>
                <w:sz w:val="18"/>
                <w:szCs w:val="18"/>
                <w:b w:val="1"/>
                <w:bCs w:val="1"/>
                <w:color w:val="F37F00"/>
              </w:rPr>
              <w:t>BENEFITS</w:t>
            </w:r>
          </w:p>
        </w:tc>
        <w:tc>
          <w:tcPr>
            <w:tcW w:w="460" w:type="dxa"/>
            <w:vAlign w:val="bottom"/>
            <w:tcBorders>
              <w:top w:val="single" w:sz="8" w:color="F37F00"/>
            </w:tcBorders>
          </w:tcPr>
          <w:p>
            <w:pPr>
              <w:ind w:left="240"/>
              <w:spacing w:after="0"/>
              <w:rPr>
                <w:sz w:val="20"/>
                <w:szCs w:val="20"/>
                <w:color w:val="auto"/>
              </w:rPr>
            </w:pPr>
            <w:r>
              <w:rPr>
                <w:rFonts w:ascii="Times New Roman" w:cs="Times New Roman" w:eastAsia="Times New Roman" w:hAnsi="Times New Roman"/>
                <w:sz w:val="18"/>
                <w:szCs w:val="18"/>
                <w:color w:val="F37F00"/>
              </w:rPr>
              <w:t>●</w:t>
            </w:r>
          </w:p>
        </w:tc>
        <w:tc>
          <w:tcPr>
            <w:tcW w:w="6060" w:type="dxa"/>
            <w:vAlign w:val="bottom"/>
            <w:tcBorders>
              <w:top w:val="single" w:sz="8" w:color="F37F00"/>
            </w:tcBorders>
          </w:tcPr>
          <w:p>
            <w:pPr>
              <w:ind w:left="100"/>
              <w:spacing w:after="0"/>
              <w:rPr>
                <w:sz w:val="20"/>
                <w:szCs w:val="20"/>
                <w:color w:val="auto"/>
              </w:rPr>
            </w:pPr>
            <w:r>
              <w:rPr>
                <w:rFonts w:ascii="Arial" w:cs="Arial" w:eastAsia="Arial" w:hAnsi="Arial"/>
                <w:sz w:val="18"/>
                <w:szCs w:val="18"/>
                <w:color w:val="202124"/>
              </w:rPr>
              <w:t>Health, welfare and retirement benefit plans and programs, including</w:t>
            </w:r>
          </w:p>
        </w:tc>
        <w:tc>
          <w:tcPr>
            <w:tcW w:w="1360" w:type="dxa"/>
            <w:vAlign w:val="bottom"/>
            <w:tcBorders>
              <w:top w:val="single" w:sz="8" w:color="F37F00"/>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202124"/>
              </w:rPr>
              <w:t>participation in stock purchase plans</w:t>
            </w:r>
          </w:p>
        </w:tc>
        <w:tc>
          <w:tcPr>
            <w:tcW w:w="1360" w:type="dxa"/>
            <w:vAlign w:val="bottom"/>
            <w:vMerge w:val="restart"/>
          </w:tcPr>
          <w:p>
            <w:pPr>
              <w:ind w:left="500"/>
              <w:spacing w:after="0"/>
              <w:rPr>
                <w:sz w:val="20"/>
                <w:szCs w:val="20"/>
                <w:color w:val="auto"/>
              </w:rPr>
            </w:pPr>
            <w:r>
              <w:rPr>
                <w:rFonts w:ascii="Arial" w:cs="Arial" w:eastAsia="Arial" w:hAnsi="Arial"/>
                <w:sz w:val="20"/>
                <w:szCs w:val="20"/>
                <w:b w:val="1"/>
                <w:bCs w:val="1"/>
                <w:color w:val="202124"/>
              </w:rPr>
              <w:t>​​</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F37F00"/>
              </w:rPr>
              <w:t>●</w:t>
            </w:r>
          </w:p>
        </w:tc>
        <w:tc>
          <w:tcPr>
            <w:tcW w:w="6060" w:type="dxa"/>
            <w:vAlign w:val="bottom"/>
          </w:tcPr>
          <w:p>
            <w:pPr>
              <w:ind w:left="100"/>
              <w:spacing w:after="0"/>
              <w:rPr>
                <w:sz w:val="20"/>
                <w:szCs w:val="20"/>
                <w:color w:val="auto"/>
              </w:rPr>
            </w:pPr>
            <w:r>
              <w:rPr>
                <w:rFonts w:ascii="Arial" w:cs="Arial" w:eastAsia="Arial" w:hAnsi="Arial"/>
                <w:sz w:val="18"/>
                <w:szCs w:val="18"/>
                <w:color w:val="202124"/>
              </w:rPr>
              <w:t>Helps attract and retain experienced executives</w:t>
            </w: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440" w:type="dxa"/>
            <w:vAlign w:val="bottom"/>
            <w:tcBorders>
              <w:bottom w:val="single" w:sz="8" w:color="F37F00"/>
            </w:tcBorders>
          </w:tcPr>
          <w:p>
            <w:pPr>
              <w:spacing w:after="0"/>
              <w:rPr>
                <w:sz w:val="13"/>
                <w:szCs w:val="13"/>
                <w:color w:val="auto"/>
              </w:rPr>
            </w:pPr>
          </w:p>
        </w:tc>
        <w:tc>
          <w:tcPr>
            <w:tcW w:w="460" w:type="dxa"/>
            <w:vAlign w:val="bottom"/>
            <w:tcBorders>
              <w:bottom w:val="single" w:sz="8" w:color="F37F00"/>
            </w:tcBorders>
          </w:tcPr>
          <w:p>
            <w:pPr>
              <w:spacing w:after="0"/>
              <w:rPr>
                <w:sz w:val="13"/>
                <w:szCs w:val="13"/>
                <w:color w:val="auto"/>
              </w:rPr>
            </w:pPr>
          </w:p>
        </w:tc>
        <w:tc>
          <w:tcPr>
            <w:tcW w:w="6060" w:type="dxa"/>
            <w:vAlign w:val="bottom"/>
            <w:tcBorders>
              <w:bottom w:val="single" w:sz="8" w:color="F37F00"/>
            </w:tcBorders>
          </w:tcPr>
          <w:p>
            <w:pPr>
              <w:spacing w:after="0"/>
              <w:rPr>
                <w:sz w:val="13"/>
                <w:szCs w:val="13"/>
                <w:color w:val="auto"/>
              </w:rPr>
            </w:pPr>
          </w:p>
        </w:tc>
        <w:tc>
          <w:tcPr>
            <w:tcW w:w="1360" w:type="dxa"/>
            <w:vAlign w:val="bottom"/>
            <w:tcBorders>
              <w:bottom w:val="single" w:sz="8" w:color="F37F00"/>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b w:val="1"/>
                <w:bCs w:val="1"/>
                <w:color w:val="F37F00"/>
              </w:rPr>
              <w:t>PERQUISITES</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F37F00"/>
              </w:rPr>
              <w:t>●</w:t>
            </w:r>
          </w:p>
        </w:tc>
        <w:tc>
          <w:tcPr>
            <w:tcW w:w="6060" w:type="dxa"/>
            <w:vAlign w:val="bottom"/>
          </w:tcPr>
          <w:p>
            <w:pPr>
              <w:ind w:left="100"/>
              <w:spacing w:after="0"/>
              <w:rPr>
                <w:sz w:val="20"/>
                <w:szCs w:val="20"/>
                <w:color w:val="auto"/>
              </w:rPr>
            </w:pPr>
            <w:r>
              <w:rPr>
                <w:rFonts w:ascii="Arial" w:cs="Arial" w:eastAsia="Arial" w:hAnsi="Arial"/>
                <w:sz w:val="18"/>
                <w:szCs w:val="18"/>
                <w:color w:val="202124"/>
              </w:rPr>
              <w:t>Limited perquisites and personal benefits, such as charitable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60" w:type="dxa"/>
            <w:vAlign w:val="bottom"/>
          </w:tcPr>
          <w:p>
            <w:pPr>
              <w:ind w:left="100"/>
              <w:spacing w:after="0" w:line="170" w:lineRule="exact"/>
              <w:rPr>
                <w:sz w:val="20"/>
                <w:szCs w:val="20"/>
                <w:color w:val="auto"/>
              </w:rPr>
            </w:pPr>
            <w:r>
              <w:rPr>
                <w:rFonts w:ascii="Arial" w:cs="Arial" w:eastAsia="Arial" w:hAnsi="Arial"/>
                <w:sz w:val="18"/>
                <w:szCs w:val="18"/>
                <w:color w:val="202124"/>
              </w:rPr>
              <w:t>contribution match, home security systems and airline club</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202124"/>
              </w:rPr>
              <w:t>memberships, which allow executives to devote more time to</w:t>
            </w:r>
          </w:p>
        </w:tc>
        <w:tc>
          <w:tcPr>
            <w:tcW w:w="1360" w:type="dxa"/>
            <w:vAlign w:val="bottom"/>
            <w:vMerge w:val="restart"/>
          </w:tcPr>
          <w:p>
            <w:pPr>
              <w:ind w:left="500"/>
              <w:spacing w:after="0"/>
              <w:rPr>
                <w:sz w:val="20"/>
                <w:szCs w:val="20"/>
                <w:color w:val="auto"/>
              </w:rPr>
            </w:pPr>
            <w:r>
              <w:rPr>
                <w:rFonts w:ascii="Arial" w:cs="Arial" w:eastAsia="Arial" w:hAnsi="Arial"/>
                <w:sz w:val="20"/>
                <w:szCs w:val="20"/>
                <w:b w:val="1"/>
                <w:bCs w:val="1"/>
                <w:color w:val="202124"/>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202124"/>
              </w:rPr>
              <w:t>business while also promoting community engagement, health,</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202124"/>
              </w:rPr>
              <w:t>wellness and safety</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45</w:t>
            </w:r>
          </w:p>
        </w:tc>
      </w:tr>
    </w:tbl>
    <w:p>
      <w:pPr>
        <w:sectPr>
          <w:pgSz w:w="11900" w:h="16838" w:orient="portrait"/>
          <w:cols w:equalWidth="0" w:num="1">
            <w:col w:w="10360"/>
          </w:cols>
          <w:pgMar w:left="440" w:top="106" w:right="109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280"/>
        <w:spacing w:after="0" w:line="271" w:lineRule="auto"/>
        <w:rPr>
          <w:sz w:val="20"/>
          <w:szCs w:val="20"/>
          <w:color w:val="auto"/>
        </w:rPr>
      </w:pPr>
      <w:r>
        <w:rPr>
          <w:rFonts w:ascii="Arial" w:cs="Arial" w:eastAsia="Arial" w:hAnsi="Arial"/>
          <w:sz w:val="18"/>
          <w:szCs w:val="18"/>
          <w:color w:val="202124"/>
        </w:rPr>
        <w:t>For FY26, the vast majority of target compensation value was delivered in the form of variable or “at-risk” performance-based compensation as shown below.</w:t>
      </w:r>
    </w:p>
    <w:p>
      <w:pPr>
        <w:spacing w:after="0" w:line="23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202124"/>
        </w:rPr>
        <w:t>Target Compensation Mix</w:t>
      </w:r>
    </w:p>
    <w:p>
      <w:pPr>
        <w:spacing w:after="0" w:line="113" w:lineRule="exact"/>
        <w:rPr>
          <w:sz w:val="20"/>
          <w:szCs w:val="20"/>
          <w:color w:val="auto"/>
        </w:rPr>
      </w:pPr>
    </w:p>
    <w:p>
      <w:pPr>
        <w:ind w:left="2800"/>
        <w:spacing w:after="0"/>
        <w:tabs>
          <w:tab w:leader="none" w:pos="6760" w:val="left"/>
        </w:tabs>
        <w:rPr>
          <w:sz w:val="20"/>
          <w:szCs w:val="20"/>
          <w:color w:val="auto"/>
        </w:rPr>
      </w:pPr>
      <w:r>
        <w:rPr>
          <w:rFonts w:ascii="Arial" w:cs="Arial" w:eastAsia="Arial" w:hAnsi="Arial"/>
          <w:sz w:val="14"/>
          <w:szCs w:val="14"/>
          <w:b w:val="1"/>
          <w:bCs w:val="1"/>
          <w:color w:val="202124"/>
        </w:rPr>
        <w:t>President and CEO</w:t>
      </w:r>
      <w:r>
        <w:rPr>
          <w:sz w:val="20"/>
          <w:szCs w:val="20"/>
          <w:color w:val="auto"/>
        </w:rPr>
        <w:tab/>
      </w:r>
      <w:r>
        <w:rPr>
          <w:rFonts w:ascii="Arial" w:cs="Arial" w:eastAsia="Arial" w:hAnsi="Arial"/>
          <w:sz w:val="14"/>
          <w:szCs w:val="14"/>
          <w:b w:val="1"/>
          <w:bCs w:val="1"/>
          <w:color w:val="202124"/>
        </w:rPr>
        <w:t>Average of 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46   </w:t>
      </w:r>
      <w:r>
        <w:rPr>
          <w:sz w:val="1"/>
          <w:szCs w:val="1"/>
          <w:color w:val="auto"/>
        </w:rPr>
        <w:drawing>
          <wp:inline distT="0" distB="0" distL="0" distR="0">
            <wp:extent cx="116586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49" w:name="page50"/>
    <w:bookmarkEnd w:id="4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Compensation Governance</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COMPENSATION COMMITTEE OVERSIGHT</w:t>
      </w:r>
    </w:p>
    <w:p>
      <w:pPr>
        <w:spacing w:after="0" w:line="104" w:lineRule="exact"/>
        <w:rPr>
          <w:sz w:val="20"/>
          <w:szCs w:val="20"/>
          <w:color w:val="auto"/>
        </w:rPr>
      </w:pPr>
    </w:p>
    <w:p>
      <w:pPr>
        <w:ind w:left="640" w:right="60"/>
        <w:spacing w:after="0" w:line="242" w:lineRule="auto"/>
        <w:rPr>
          <w:sz w:val="20"/>
          <w:szCs w:val="20"/>
          <w:color w:val="auto"/>
        </w:rPr>
      </w:pPr>
      <w:r>
        <w:rPr>
          <w:rFonts w:ascii="Arial" w:cs="Arial" w:eastAsia="Arial" w:hAnsi="Arial"/>
          <w:sz w:val="18"/>
          <w:szCs w:val="18"/>
          <w:color w:val="202124"/>
        </w:rPr>
        <w:t>The Company’s executive compensation program is administered and overseen by the Compensation Committee. As set forth in its committee charter (which is available on the Investor Relations section of our website), the Compensation Committee is made up entirely of independent directors appointed by the full Board of Directors and is responsible for reviewing and approving AutoZone’s compensation philosophy, strategy and objectives as well as its compensation programs, plans and awards for executive officers. In carrying out its responsibilities, the Compensation Committee elicits feedback and support from stockholders, members of the Board, management, and outside advisors as needed.</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ROLES AND RESPONSIBILITIES</w:t>
      </w:r>
    </w:p>
    <w:p>
      <w:pPr>
        <w:spacing w:after="0" w:line="311" w:lineRule="exact"/>
        <w:rPr>
          <w:sz w:val="20"/>
          <w:szCs w:val="20"/>
          <w:color w:val="auto"/>
        </w:rPr>
      </w:pPr>
    </w:p>
    <w:p>
      <w:pPr>
        <w:ind w:left="3720"/>
        <w:spacing w:after="0"/>
        <w:rPr>
          <w:sz w:val="20"/>
          <w:szCs w:val="20"/>
          <w:color w:val="auto"/>
        </w:rPr>
      </w:pPr>
      <w:r>
        <w:rPr>
          <w:rFonts w:ascii="Arial" w:cs="Arial" w:eastAsia="Arial" w:hAnsi="Arial"/>
          <w:sz w:val="19"/>
          <w:szCs w:val="19"/>
          <w:b w:val="1"/>
          <w:bCs w:val="1"/>
          <w:color w:val="F37F00"/>
        </w:rPr>
        <w:t>ROLE OF COMPENSATION COMMITTEE</w:t>
      </w:r>
    </w:p>
    <w:p>
      <w:pPr>
        <w:sectPr>
          <w:pgSz w:w="11900" w:h="16838" w:orient="portrait"/>
          <w:cols w:equalWidth="0" w:num="1">
            <w:col w:w="10360"/>
          </w:cols>
          <w:pgMar w:left="440" w:top="106" w:right="1099" w:bottom="1440" w:gutter="0" w:footer="0" w:header="0"/>
        </w:sectPr>
      </w:pPr>
    </w:p>
    <w:p>
      <w:pPr>
        <w:spacing w:after="0" w:line="87" w:lineRule="exact"/>
        <w:rPr>
          <w:sz w:val="20"/>
          <w:szCs w:val="20"/>
          <w:color w:val="auto"/>
        </w:rPr>
      </w:pPr>
    </w:p>
    <w:p>
      <w:pPr>
        <w:ind w:left="1400" w:right="60" w:hanging="315"/>
        <w:spacing w:after="0" w:line="281" w:lineRule="auto"/>
        <w:tabs>
          <w:tab w:leader="none" w:pos="1400" w:val="left"/>
        </w:tabs>
        <w:numPr>
          <w:ilvl w:val="0"/>
          <w:numId w:val="70"/>
        </w:numPr>
        <w:rPr>
          <w:rFonts w:ascii="Times New Roman" w:cs="Times New Roman" w:eastAsia="Times New Roman" w:hAnsi="Times New Roman"/>
          <w:sz w:val="17"/>
          <w:szCs w:val="17"/>
          <w:color w:val="F37F00"/>
        </w:rPr>
      </w:pPr>
      <w:r>
        <w:rPr>
          <w:rFonts w:ascii="Arial" w:cs="Arial" w:eastAsia="Arial" w:hAnsi="Arial"/>
          <w:sz w:val="17"/>
          <w:szCs w:val="17"/>
          <w:color w:val="202124"/>
        </w:rPr>
        <w:t>Reviews and approves executive compensation philosophy, strategy and objectives</w:t>
      </w:r>
    </w:p>
    <w:p>
      <w:pPr>
        <w:ind w:left="1400" w:hanging="315"/>
        <w:spacing w:after="0" w:line="252" w:lineRule="auto"/>
        <w:tabs>
          <w:tab w:leader="none" w:pos="1400" w:val="left"/>
        </w:tabs>
        <w:numPr>
          <w:ilvl w:val="0"/>
          <w:numId w:val="70"/>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Reviews and approves compensation programs, plans and awards (including salary, bonus and equity grants) for all executive officers</w:t>
      </w:r>
    </w:p>
    <w:p>
      <w:pPr>
        <w:spacing w:after="0" w:line="8" w:lineRule="exact"/>
        <w:rPr>
          <w:rFonts w:ascii="Times New Roman" w:cs="Times New Roman" w:eastAsia="Times New Roman" w:hAnsi="Times New Roman"/>
          <w:sz w:val="18"/>
          <w:szCs w:val="18"/>
          <w:color w:val="F37F00"/>
        </w:rPr>
      </w:pPr>
    </w:p>
    <w:p>
      <w:pPr>
        <w:ind w:left="1400" w:right="200" w:hanging="315"/>
        <w:spacing w:after="0" w:line="300" w:lineRule="auto"/>
        <w:tabs>
          <w:tab w:leader="none" w:pos="1400" w:val="left"/>
        </w:tabs>
        <w:numPr>
          <w:ilvl w:val="0"/>
          <w:numId w:val="70"/>
        </w:numPr>
        <w:rPr>
          <w:rFonts w:ascii="Times New Roman" w:cs="Times New Roman" w:eastAsia="Times New Roman" w:hAnsi="Times New Roman"/>
          <w:sz w:val="17"/>
          <w:szCs w:val="17"/>
          <w:color w:val="F37F00"/>
        </w:rPr>
      </w:pPr>
      <w:r>
        <w:rPr>
          <w:rFonts w:ascii="Arial" w:cs="Arial" w:eastAsia="Arial" w:hAnsi="Arial"/>
          <w:sz w:val="17"/>
          <w:szCs w:val="17"/>
          <w:color w:val="202124"/>
        </w:rPr>
        <w:t>Determines the terms and conditions of equity incentive awards for all award recipients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318" w:right="580" w:hanging="318"/>
        <w:spacing w:after="0" w:line="265" w:lineRule="auto"/>
        <w:tabs>
          <w:tab w:leader="none" w:pos="318" w:val="left"/>
        </w:tabs>
        <w:numPr>
          <w:ilvl w:val="0"/>
          <w:numId w:val="71"/>
        </w:numPr>
        <w:rPr>
          <w:rFonts w:ascii="Times New Roman" w:cs="Times New Roman" w:eastAsia="Times New Roman" w:hAnsi="Times New Roman"/>
          <w:sz w:val="18"/>
          <w:szCs w:val="18"/>
          <w:color w:val="F37F00"/>
        </w:rPr>
      </w:pPr>
      <w:r>
        <w:rPr>
          <w:rFonts w:ascii="Arial" w:cs="Arial" w:eastAsia="Arial" w:hAnsi="Arial"/>
          <w:sz w:val="18"/>
          <w:szCs w:val="18"/>
          <w:color w:val="202124"/>
        </w:rPr>
        <w:t>Evaluates performance against pre-established performance goals</w:t>
      </w:r>
    </w:p>
    <w:p>
      <w:pPr>
        <w:spacing w:after="0" w:line="1" w:lineRule="exact"/>
        <w:rPr>
          <w:rFonts w:ascii="Times New Roman" w:cs="Times New Roman" w:eastAsia="Times New Roman" w:hAnsi="Times New Roman"/>
          <w:sz w:val="18"/>
          <w:szCs w:val="18"/>
          <w:color w:val="F37F00"/>
        </w:rPr>
      </w:pPr>
    </w:p>
    <w:p>
      <w:pPr>
        <w:ind w:left="318" w:right="600" w:hanging="318"/>
        <w:spacing w:after="0" w:line="265" w:lineRule="auto"/>
        <w:tabs>
          <w:tab w:leader="none" w:pos="318" w:val="left"/>
        </w:tabs>
        <w:numPr>
          <w:ilvl w:val="0"/>
          <w:numId w:val="71"/>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Reviews regulatory and legal developments on compensation matters</w:t>
      </w:r>
    </w:p>
    <w:p>
      <w:pPr>
        <w:spacing w:after="0" w:line="1" w:lineRule="exact"/>
        <w:rPr>
          <w:rFonts w:ascii="Times New Roman" w:cs="Times New Roman" w:eastAsia="Times New Roman" w:hAnsi="Times New Roman"/>
          <w:sz w:val="18"/>
          <w:szCs w:val="18"/>
          <w:color w:val="F37F00"/>
        </w:rPr>
      </w:pPr>
    </w:p>
    <w:p>
      <w:pPr>
        <w:ind w:left="318" w:right="380" w:hanging="318"/>
        <w:spacing w:after="0" w:line="252" w:lineRule="auto"/>
        <w:tabs>
          <w:tab w:leader="none" w:pos="318" w:val="left"/>
        </w:tabs>
        <w:numPr>
          <w:ilvl w:val="0"/>
          <w:numId w:val="71"/>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Reviews annual say-on-pay results and considers investor feedback on executive compensation practices</w:t>
      </w:r>
    </w:p>
    <w:p>
      <w:pPr>
        <w:spacing w:after="0" w:line="8" w:lineRule="exact"/>
        <w:rPr>
          <w:rFonts w:ascii="Times New Roman" w:cs="Times New Roman" w:eastAsia="Times New Roman" w:hAnsi="Times New Roman"/>
          <w:sz w:val="18"/>
          <w:szCs w:val="18"/>
          <w:color w:val="F37F00"/>
        </w:rPr>
      </w:pPr>
    </w:p>
    <w:p>
      <w:pPr>
        <w:ind w:left="318" w:right="540" w:hanging="318"/>
        <w:spacing w:after="0" w:line="246" w:lineRule="auto"/>
        <w:tabs>
          <w:tab w:leader="none" w:pos="318" w:val="left"/>
        </w:tabs>
        <w:numPr>
          <w:ilvl w:val="0"/>
          <w:numId w:val="71"/>
        </w:numPr>
        <w:rPr>
          <w:rFonts w:ascii="Times New Roman" w:cs="Times New Roman" w:eastAsia="Times New Roman" w:hAnsi="Times New Roman"/>
          <w:sz w:val="19"/>
          <w:szCs w:val="19"/>
          <w:color w:val="F37F00"/>
        </w:rPr>
      </w:pPr>
      <w:r>
        <w:rPr>
          <w:rFonts w:ascii="Arial" w:cs="Arial" w:eastAsia="Arial" w:hAnsi="Arial"/>
          <w:sz w:val="18"/>
          <w:szCs w:val="18"/>
          <w:color w:val="202124"/>
        </w:rPr>
        <w:t>Reviews and oversees risk management practices relating to the design and operation of compensation plans and programs</w:t>
      </w:r>
    </w:p>
    <w:p>
      <w:pPr>
        <w:spacing w:after="0" w:line="200" w:lineRule="exact"/>
        <w:rPr>
          <w:sz w:val="20"/>
          <w:szCs w:val="20"/>
          <w:color w:val="auto"/>
        </w:rPr>
      </w:pPr>
    </w:p>
    <w:p>
      <w:pPr>
        <w:sectPr>
          <w:pgSz w:w="11900" w:h="16838" w:orient="portrait"/>
          <w:cols w:equalWidth="0" w:num="2">
            <w:col w:w="5260" w:space="442"/>
            <w:col w:w="4658"/>
          </w:cols>
          <w:pgMar w:left="440" w:top="106" w:right="1099" w:bottom="1440" w:gutter="0" w:footer="0" w:header="0"/>
          <w:type w:val="continuous"/>
        </w:sect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F37F00"/>
        </w:rPr>
        <w:t>ROLE OF COMPENSATION CONSULTANT</w:t>
      </w:r>
    </w:p>
    <w:p>
      <w:pPr>
        <w:spacing w:after="0" w:line="87" w:lineRule="exact"/>
        <w:rPr>
          <w:sz w:val="20"/>
          <w:szCs w:val="20"/>
          <w:color w:val="auto"/>
        </w:rPr>
      </w:pPr>
    </w:p>
    <w:p>
      <w:pPr>
        <w:ind w:left="1400" w:hanging="315"/>
        <w:spacing w:after="0" w:line="252" w:lineRule="auto"/>
        <w:tabs>
          <w:tab w:leader="none" w:pos="1400" w:val="left"/>
        </w:tabs>
        <w:numPr>
          <w:ilvl w:val="0"/>
          <w:numId w:val="72"/>
        </w:numPr>
        <w:rPr>
          <w:rFonts w:ascii="Times New Roman" w:cs="Times New Roman" w:eastAsia="Times New Roman" w:hAnsi="Times New Roman"/>
          <w:sz w:val="18"/>
          <w:szCs w:val="18"/>
          <w:color w:val="F37F00"/>
        </w:rPr>
      </w:pPr>
      <w:r>
        <w:rPr>
          <w:rFonts w:ascii="Arial" w:cs="Arial" w:eastAsia="Arial" w:hAnsi="Arial"/>
          <w:sz w:val="18"/>
          <w:szCs w:val="18"/>
          <w:color w:val="202124"/>
        </w:rPr>
        <w:t>Provides recommendations regarding compensation amount, mix, program design and governance practices</w:t>
      </w:r>
    </w:p>
    <w:p>
      <w:pPr>
        <w:spacing w:after="0" w:line="8" w:lineRule="exact"/>
        <w:rPr>
          <w:rFonts w:ascii="Times New Roman" w:cs="Times New Roman" w:eastAsia="Times New Roman" w:hAnsi="Times New Roman"/>
          <w:sz w:val="18"/>
          <w:szCs w:val="18"/>
          <w:color w:val="F37F00"/>
        </w:rPr>
      </w:pPr>
    </w:p>
    <w:p>
      <w:pPr>
        <w:ind w:left="1400" w:right="460" w:hanging="315"/>
        <w:spacing w:after="0" w:line="281" w:lineRule="auto"/>
        <w:tabs>
          <w:tab w:leader="none" w:pos="1400" w:val="left"/>
        </w:tabs>
        <w:numPr>
          <w:ilvl w:val="0"/>
          <w:numId w:val="72"/>
        </w:numPr>
        <w:rPr>
          <w:rFonts w:ascii="Times New Roman" w:cs="Times New Roman" w:eastAsia="Times New Roman" w:hAnsi="Times New Roman"/>
          <w:sz w:val="17"/>
          <w:szCs w:val="17"/>
          <w:color w:val="F37F00"/>
        </w:rPr>
      </w:pPr>
      <w:r>
        <w:rPr>
          <w:rFonts w:ascii="Arial" w:cs="Arial" w:eastAsia="Arial" w:hAnsi="Arial"/>
          <w:sz w:val="17"/>
          <w:szCs w:val="17"/>
          <w:color w:val="202124"/>
        </w:rPr>
        <w:t>Provides direct feedback regarding compensation-related practices and trends</w:t>
      </w:r>
    </w:p>
    <w:p>
      <w:pPr>
        <w:jc w:val="both"/>
        <w:ind w:left="1400" w:right="200" w:hanging="315"/>
        <w:spacing w:after="0" w:line="281" w:lineRule="auto"/>
        <w:tabs>
          <w:tab w:leader="none" w:pos="1400" w:val="left"/>
        </w:tabs>
        <w:numPr>
          <w:ilvl w:val="0"/>
          <w:numId w:val="72"/>
        </w:numPr>
        <w:rPr>
          <w:rFonts w:ascii="Times New Roman" w:cs="Times New Roman" w:eastAsia="Times New Roman" w:hAnsi="Times New Roman"/>
          <w:sz w:val="17"/>
          <w:szCs w:val="17"/>
          <w:color w:val="F37F00"/>
        </w:rPr>
      </w:pPr>
      <w:r>
        <w:rPr>
          <w:rFonts w:ascii="Arial" w:cs="Arial" w:eastAsia="Arial" w:hAnsi="Arial"/>
          <w:sz w:val="17"/>
          <w:szCs w:val="17"/>
          <w:color w:val="202124"/>
        </w:rPr>
        <w:t>Feedback and recommendations are primarily focused on CEO and executive compensation</w:t>
      </w:r>
    </w:p>
    <w:p>
      <w:pPr>
        <w:ind w:left="1400" w:right="900" w:hanging="315"/>
        <w:spacing w:after="0" w:line="270" w:lineRule="auto"/>
        <w:tabs>
          <w:tab w:leader="none" w:pos="1400" w:val="left"/>
        </w:tabs>
        <w:numPr>
          <w:ilvl w:val="0"/>
          <w:numId w:val="72"/>
        </w:numPr>
        <w:rPr>
          <w:rFonts w:ascii="Times New Roman" w:cs="Times New Roman" w:eastAsia="Times New Roman" w:hAnsi="Times New Roman"/>
          <w:sz w:val="18"/>
          <w:szCs w:val="18"/>
          <w:color w:val="F37F00"/>
        </w:rPr>
      </w:pPr>
      <w:r>
        <w:rPr>
          <w:rFonts w:ascii="Arial" w:cs="Arial" w:eastAsia="Arial" w:hAnsi="Arial"/>
          <w:sz w:val="18"/>
          <w:szCs w:val="18"/>
          <w:color w:val="202124"/>
        </w:rPr>
        <w:t>Reports directly to the Compensation Committee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center"/>
        <w:ind w:right="560"/>
        <w:spacing w:after="0"/>
        <w:rPr>
          <w:sz w:val="20"/>
          <w:szCs w:val="20"/>
          <w:color w:val="auto"/>
        </w:rPr>
      </w:pPr>
      <w:r>
        <w:rPr>
          <w:rFonts w:ascii="Arial" w:cs="Arial" w:eastAsia="Arial" w:hAnsi="Arial"/>
          <w:sz w:val="19"/>
          <w:szCs w:val="19"/>
          <w:b w:val="1"/>
          <w:bCs w:val="1"/>
          <w:color w:val="F37F00"/>
        </w:rPr>
        <w:t>ROLE OF MANAGEMENT</w:t>
      </w:r>
    </w:p>
    <w:p>
      <w:pPr>
        <w:spacing w:after="0" w:line="384" w:lineRule="exact"/>
        <w:rPr>
          <w:sz w:val="20"/>
          <w:szCs w:val="20"/>
          <w:color w:val="auto"/>
        </w:rPr>
      </w:pPr>
    </w:p>
    <w:p>
      <w:pPr>
        <w:ind w:left="340" w:right="540" w:hanging="334"/>
        <w:spacing w:after="0" w:line="252" w:lineRule="auto"/>
        <w:tabs>
          <w:tab w:leader="none" w:pos="340" w:val="left"/>
        </w:tabs>
        <w:numPr>
          <w:ilvl w:val="0"/>
          <w:numId w:val="73"/>
        </w:numPr>
        <w:rPr>
          <w:rFonts w:ascii="Times New Roman" w:cs="Times New Roman" w:eastAsia="Times New Roman" w:hAnsi="Times New Roman"/>
          <w:sz w:val="18"/>
          <w:szCs w:val="18"/>
          <w:color w:val="F37F00"/>
        </w:rPr>
      </w:pPr>
      <w:r>
        <w:rPr>
          <w:rFonts w:ascii="Arial" w:cs="Arial" w:eastAsia="Arial" w:hAnsi="Arial"/>
          <w:sz w:val="18"/>
          <w:szCs w:val="18"/>
          <w:color w:val="202124"/>
        </w:rPr>
        <w:t>Conducts compensation-related research and data analysis based on peer group and broader market surveys</w:t>
      </w:r>
    </w:p>
    <w:p>
      <w:pPr>
        <w:spacing w:after="0" w:line="8" w:lineRule="exact"/>
        <w:rPr>
          <w:rFonts w:ascii="Times New Roman" w:cs="Times New Roman" w:eastAsia="Times New Roman" w:hAnsi="Times New Roman"/>
          <w:sz w:val="18"/>
          <w:szCs w:val="18"/>
          <w:color w:val="F37F00"/>
        </w:rPr>
      </w:pPr>
    </w:p>
    <w:p>
      <w:pPr>
        <w:ind w:left="340" w:right="420" w:hanging="334"/>
        <w:spacing w:after="0" w:line="252" w:lineRule="auto"/>
        <w:tabs>
          <w:tab w:leader="none" w:pos="340" w:val="left"/>
        </w:tabs>
        <w:numPr>
          <w:ilvl w:val="0"/>
          <w:numId w:val="73"/>
        </w:numPr>
        <w:rPr>
          <w:rFonts w:ascii="Times New Roman" w:cs="Times New Roman" w:eastAsia="Times New Roman" w:hAnsi="Times New Roman"/>
          <w:sz w:val="18"/>
          <w:szCs w:val="18"/>
          <w:color w:val="F37F00"/>
        </w:rPr>
      </w:pPr>
      <w:r>
        <w:rPr>
          <w:rFonts w:ascii="Arial" w:cs="Arial" w:eastAsia="Arial" w:hAnsi="Arial"/>
          <w:sz w:val="18"/>
          <w:szCs w:val="18"/>
          <w:color w:val="202124"/>
        </w:rPr>
        <w:t>Provides recommendations regarding compensation amount, mix, program design, and governance practices</w:t>
      </w:r>
    </w:p>
    <w:p>
      <w:pPr>
        <w:spacing w:after="0" w:line="8" w:lineRule="exact"/>
        <w:rPr>
          <w:rFonts w:ascii="Times New Roman" w:cs="Times New Roman" w:eastAsia="Times New Roman" w:hAnsi="Times New Roman"/>
          <w:sz w:val="18"/>
          <w:szCs w:val="18"/>
          <w:color w:val="F37F00"/>
        </w:rPr>
      </w:pPr>
    </w:p>
    <w:p>
      <w:pPr>
        <w:ind w:left="340" w:right="500" w:hanging="334"/>
        <w:spacing w:after="0" w:line="265" w:lineRule="auto"/>
        <w:tabs>
          <w:tab w:leader="none" w:pos="340" w:val="left"/>
        </w:tabs>
        <w:numPr>
          <w:ilvl w:val="0"/>
          <w:numId w:val="73"/>
        </w:numPr>
        <w:rPr>
          <w:rFonts w:ascii="Times New Roman" w:cs="Times New Roman" w:eastAsia="Times New Roman" w:hAnsi="Times New Roman"/>
          <w:sz w:val="18"/>
          <w:szCs w:val="18"/>
          <w:color w:val="F37F00"/>
        </w:rPr>
      </w:pPr>
      <w:r>
        <w:rPr>
          <w:rFonts w:ascii="Arial" w:cs="Arial" w:eastAsia="Arial" w:hAnsi="Arial"/>
          <w:sz w:val="18"/>
          <w:szCs w:val="18"/>
          <w:color w:val="202124"/>
        </w:rPr>
        <w:t>Executives vigorously evaluate the performance of each of their direct reports</w:t>
      </w:r>
    </w:p>
    <w:p>
      <w:pPr>
        <w:spacing w:after="0" w:line="1" w:lineRule="exact"/>
        <w:rPr>
          <w:rFonts w:ascii="Times New Roman" w:cs="Times New Roman" w:eastAsia="Times New Roman" w:hAnsi="Times New Roman"/>
          <w:sz w:val="18"/>
          <w:szCs w:val="18"/>
          <w:color w:val="F37F00"/>
        </w:rPr>
      </w:pPr>
    </w:p>
    <w:p>
      <w:pPr>
        <w:jc w:val="both"/>
        <w:ind w:left="340" w:right="460" w:hanging="334"/>
        <w:spacing w:after="0" w:line="252" w:lineRule="auto"/>
        <w:tabs>
          <w:tab w:leader="none" w:pos="340" w:val="left"/>
        </w:tabs>
        <w:numPr>
          <w:ilvl w:val="0"/>
          <w:numId w:val="73"/>
        </w:numPr>
        <w:rPr>
          <w:rFonts w:ascii="Times New Roman" w:cs="Times New Roman" w:eastAsia="Times New Roman" w:hAnsi="Times New Roman"/>
          <w:sz w:val="18"/>
          <w:szCs w:val="18"/>
          <w:color w:val="F37F00"/>
        </w:rPr>
      </w:pPr>
      <w:r>
        <w:rPr>
          <w:rFonts w:ascii="Arial" w:cs="Arial" w:eastAsia="Arial" w:hAnsi="Arial"/>
          <w:sz w:val="18"/>
          <w:szCs w:val="18"/>
          <w:color w:val="202124"/>
        </w:rPr>
        <w:t>Evaluates market data for each executive officer relative to the Company’s strategy, business and inherent responsibilities of the role</w:t>
      </w:r>
    </w:p>
    <w:p>
      <w:pPr>
        <w:spacing w:after="0" w:line="8" w:lineRule="exact"/>
        <w:rPr>
          <w:rFonts w:ascii="Times New Roman" w:cs="Times New Roman" w:eastAsia="Times New Roman" w:hAnsi="Times New Roman"/>
          <w:sz w:val="18"/>
          <w:szCs w:val="18"/>
          <w:color w:val="F37F00"/>
        </w:rPr>
      </w:pPr>
    </w:p>
    <w:p>
      <w:pPr>
        <w:ind w:left="340" w:right="340" w:hanging="334"/>
        <w:spacing w:after="0" w:line="243" w:lineRule="auto"/>
        <w:tabs>
          <w:tab w:leader="none" w:pos="340" w:val="left"/>
        </w:tabs>
        <w:numPr>
          <w:ilvl w:val="0"/>
          <w:numId w:val="73"/>
        </w:numPr>
        <w:rPr>
          <w:rFonts w:ascii="Times New Roman" w:cs="Times New Roman" w:eastAsia="Times New Roman" w:hAnsi="Times New Roman"/>
          <w:sz w:val="18"/>
          <w:szCs w:val="18"/>
          <w:color w:val="F37F00"/>
        </w:rPr>
      </w:pPr>
      <w:r>
        <w:rPr>
          <w:rFonts w:ascii="Arial" w:cs="Arial" w:eastAsia="Arial" w:hAnsi="Arial"/>
          <w:sz w:val="18"/>
          <w:szCs w:val="18"/>
          <w:color w:val="202124"/>
        </w:rPr>
        <w:t>Advises on relationship of other factors, such as the Company’s annual operating plan, long-term strategy, human capital management strategy and internal pay equity, to compensation design and outcomes</w:t>
      </w:r>
    </w:p>
    <w:p>
      <w:pPr>
        <w:spacing w:after="0" w:line="200" w:lineRule="exact"/>
        <w:rPr>
          <w:sz w:val="20"/>
          <w:szCs w:val="20"/>
          <w:color w:val="auto"/>
        </w:rPr>
      </w:pPr>
    </w:p>
    <w:p>
      <w:pPr>
        <w:sectPr>
          <w:pgSz w:w="11900" w:h="16838" w:orient="portrait"/>
          <w:cols w:equalWidth="0" w:num="2">
            <w:col w:w="5260" w:space="440"/>
            <w:col w:w="4660"/>
          </w:cols>
          <w:pgMar w:left="440" w:top="106" w:right="1099" w:bottom="1440" w:gutter="0" w:footer="0" w:header="0"/>
          <w:type w:val="continuous"/>
        </w:sect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F37F00"/>
        </w:rPr>
        <w:t>ROLE OF STOCKHOLDERS</w:t>
      </w:r>
    </w:p>
    <w:p>
      <w:pPr>
        <w:sectPr>
          <w:pgSz w:w="11900" w:h="16838" w:orient="portrait"/>
          <w:cols w:equalWidth="0" w:num="1">
            <w:col w:w="10360"/>
          </w:cols>
          <w:pgMar w:left="440" w:top="106" w:right="1099" w:bottom="1440" w:gutter="0" w:footer="0" w:header="0"/>
          <w:type w:val="continuous"/>
        </w:sectPr>
      </w:pPr>
    </w:p>
    <w:p>
      <w:pPr>
        <w:spacing w:after="0" w:line="98" w:lineRule="exact"/>
        <w:rPr>
          <w:sz w:val="20"/>
          <w:szCs w:val="20"/>
          <w:color w:val="auto"/>
        </w:rPr>
      </w:pPr>
    </w:p>
    <w:p>
      <w:pPr>
        <w:ind w:left="1340" w:hanging="242"/>
        <w:spacing w:after="0" w:line="252" w:lineRule="auto"/>
        <w:tabs>
          <w:tab w:leader="none" w:pos="1340" w:val="left"/>
        </w:tabs>
        <w:numPr>
          <w:ilvl w:val="0"/>
          <w:numId w:val="74"/>
        </w:numPr>
        <w:rPr>
          <w:rFonts w:ascii="Times New Roman" w:cs="Times New Roman" w:eastAsia="Times New Roman" w:hAnsi="Times New Roman"/>
          <w:sz w:val="18"/>
          <w:szCs w:val="18"/>
          <w:color w:val="F37F00"/>
        </w:rPr>
      </w:pPr>
      <w:r>
        <w:rPr>
          <w:rFonts w:ascii="Arial" w:cs="Arial" w:eastAsia="Arial" w:hAnsi="Arial"/>
          <w:sz w:val="18"/>
          <w:szCs w:val="18"/>
          <w:color w:val="202124"/>
        </w:rPr>
        <w:t>Express support for the executive compensation program by voting for or against the Say-on-Pay vote at annual meeting</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318" w:right="420" w:hanging="318"/>
        <w:spacing w:after="0" w:line="252" w:lineRule="auto"/>
        <w:tabs>
          <w:tab w:leader="none" w:pos="318" w:val="left"/>
        </w:tabs>
        <w:numPr>
          <w:ilvl w:val="0"/>
          <w:numId w:val="75"/>
        </w:numPr>
        <w:rPr>
          <w:rFonts w:ascii="Times New Roman" w:cs="Times New Roman" w:eastAsia="Times New Roman" w:hAnsi="Times New Roman"/>
          <w:sz w:val="18"/>
          <w:szCs w:val="18"/>
          <w:color w:val="F37F00"/>
        </w:rPr>
      </w:pPr>
      <w:r>
        <w:rPr>
          <w:rFonts w:ascii="Arial" w:cs="Arial" w:eastAsia="Arial" w:hAnsi="Arial"/>
          <w:sz w:val="18"/>
          <w:szCs w:val="18"/>
          <w:color w:val="202124"/>
        </w:rPr>
        <w:t>Provide direct feedback regarding executive compensation program through engagement with management and/or Board members</w:t>
      </w:r>
    </w:p>
    <w:p>
      <w:pPr>
        <w:spacing w:after="0" w:line="200" w:lineRule="exact"/>
        <w:rPr>
          <w:sz w:val="20"/>
          <w:szCs w:val="20"/>
          <w:color w:val="auto"/>
        </w:rPr>
      </w:pPr>
    </w:p>
    <w:p>
      <w:pPr>
        <w:sectPr>
          <w:pgSz w:w="11900" w:h="16838" w:orient="portrait"/>
          <w:cols w:equalWidth="0" w:num="2">
            <w:col w:w="5060" w:space="642"/>
            <w:col w:w="4658"/>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47</w:t>
            </w:r>
          </w:p>
        </w:tc>
      </w:tr>
    </w:tbl>
    <w:p>
      <w:pPr>
        <w:sectPr>
          <w:pgSz w:w="11900" w:h="16838" w:orient="portrait"/>
          <w:cols w:equalWidth="0" w:num="1">
            <w:col w:w="10360"/>
          </w:cols>
          <w:pgMar w:left="440" w:top="106" w:right="109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Independent Compensation Consultant</w:t>
      </w:r>
    </w:p>
    <w:p>
      <w:pPr>
        <w:spacing w:after="0" w:line="158" w:lineRule="exact"/>
        <w:rPr>
          <w:sz w:val="20"/>
          <w:szCs w:val="20"/>
          <w:color w:val="auto"/>
        </w:rPr>
      </w:pPr>
    </w:p>
    <w:p>
      <w:pPr>
        <w:ind w:left="640" w:right="280"/>
        <w:spacing w:after="0"/>
        <w:rPr>
          <w:sz w:val="20"/>
          <w:szCs w:val="20"/>
          <w:color w:val="auto"/>
        </w:rPr>
      </w:pPr>
      <w:r>
        <w:rPr>
          <w:rFonts w:ascii="Arial" w:cs="Arial" w:eastAsia="Arial" w:hAnsi="Arial"/>
          <w:sz w:val="18"/>
          <w:szCs w:val="18"/>
          <w:color w:val="202124"/>
        </w:rPr>
        <w:t>For FY26, the Compensation Committee again selected and retained Pearl Meyer to serve as its independent compensation consultant. Prior to its engagement, the Committee re-assessed Pearl Meyer’s independence in light of applicable SEC rules and NYSE listing standards and determined that no conflict of interest or independence concerns existed. Pearl Meyer reports directly to the Compensation Committee and provides independent advice regarding executive and non-employee director compensation programs and practices. Representatives from Pearl Meyer also regularly attend meetings of the Compensation Committee and executive sessions as may be requested by the Committee from time to time.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Management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Mr. Daniele, in his capacity as President and Chief Executive Officer, attends most meetings of the Compensation</w:t>
      </w:r>
    </w:p>
    <w:p>
      <w:pPr>
        <w:spacing w:after="0" w:line="14"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202124"/>
        </w:rPr>
        <w:t>Committee and provides valuable input and perspectives to the Committee with respect to the performance and compensation of the other members of our management team. He makes specific recommendations to the Compensation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202124"/>
        </w:rPr>
        <w:t>Committee concerning the compensation of his direct reports and other senior executives, including the executive officers.</w:t>
      </w:r>
    </w:p>
    <w:p>
      <w:pPr>
        <w:spacing w:after="0" w:line="7" w:lineRule="exact"/>
        <w:rPr>
          <w:sz w:val="20"/>
          <w:szCs w:val="20"/>
          <w:color w:val="auto"/>
        </w:rPr>
      </w:pPr>
    </w:p>
    <w:p>
      <w:pPr>
        <w:ind w:left="640" w:right="240"/>
        <w:spacing w:after="0"/>
        <w:rPr>
          <w:sz w:val="20"/>
          <w:szCs w:val="20"/>
          <w:color w:val="auto"/>
        </w:rPr>
      </w:pPr>
      <w:r>
        <w:rPr>
          <w:rFonts w:ascii="Arial" w:cs="Arial" w:eastAsia="Arial" w:hAnsi="Arial"/>
          <w:sz w:val="17"/>
          <w:szCs w:val="17"/>
          <w:color w:val="202124"/>
        </w:rPr>
        <w:t>These recommendations generally relate to base salary increases, long-term incentives, internal promotions and compensation recommendations for newly hired executives. He also assists the Compensation Committee by providing</w:t>
      </w:r>
    </w:p>
    <w:p>
      <w:pPr>
        <w:ind w:left="640"/>
        <w:spacing w:after="0" w:line="235" w:lineRule="auto"/>
        <w:rPr>
          <w:sz w:val="20"/>
          <w:szCs w:val="20"/>
          <w:color w:val="auto"/>
        </w:rPr>
      </w:pPr>
      <w:r>
        <w:rPr>
          <w:rFonts w:ascii="Arial" w:cs="Arial" w:eastAsia="Arial" w:hAnsi="Arial"/>
          <w:sz w:val="18"/>
          <w:szCs w:val="18"/>
          <w:color w:val="202124"/>
        </w:rPr>
        <w:t>input regarding individual goals, performance and results as well as scope and complexity of their positions. Our Senior</w:t>
      </w:r>
    </w:p>
    <w:p>
      <w:pPr>
        <w:ind w:left="640" w:right="160"/>
        <w:spacing w:after="0"/>
        <w:rPr>
          <w:sz w:val="20"/>
          <w:szCs w:val="20"/>
          <w:color w:val="auto"/>
        </w:rPr>
      </w:pPr>
      <w:r>
        <w:rPr>
          <w:rFonts w:ascii="Arial" w:cs="Arial" w:eastAsia="Arial" w:hAnsi="Arial"/>
          <w:sz w:val="17"/>
          <w:szCs w:val="17"/>
          <w:color w:val="202124"/>
        </w:rPr>
        <w:t>Vice President, Human Resources, along with other key members of our human resources team also attend the majority of Compensation Committee meetings and provide the Committee with data, analyses and perspectives on relevant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market and industry trends.</w:t>
      </w:r>
    </w:p>
    <w:p>
      <w:pPr>
        <w:spacing w:after="0" w:line="283" w:lineRule="exact"/>
        <w:rPr>
          <w:sz w:val="20"/>
          <w:szCs w:val="20"/>
          <w:color w:val="auto"/>
        </w:rPr>
      </w:pPr>
    </w:p>
    <w:p>
      <w:pPr>
        <w:jc w:val="center"/>
        <w:ind w:right="-659"/>
        <w:spacing w:after="0"/>
        <w:rPr>
          <w:sz w:val="20"/>
          <w:szCs w:val="20"/>
          <w:color w:val="auto"/>
        </w:rPr>
      </w:pPr>
      <w:r>
        <w:rPr>
          <w:rFonts w:ascii="Arial" w:cs="Arial" w:eastAsia="Arial" w:hAnsi="Arial"/>
          <w:sz w:val="20"/>
          <w:szCs w:val="20"/>
          <w:b w:val="1"/>
          <w:bCs w:val="1"/>
          <w:color w:val="202124"/>
        </w:rPr>
        <w:t>Compensation Planning Cycle</w:t>
      </w:r>
    </w:p>
    <w:p>
      <w:pPr>
        <w:spacing w:after="0" w:line="139" w:lineRule="exact"/>
        <w:rPr>
          <w:sz w:val="20"/>
          <w:szCs w:val="20"/>
          <w:color w:val="auto"/>
        </w:rPr>
      </w:pPr>
    </w:p>
    <w:p>
      <w:pPr>
        <w:ind w:left="2320"/>
        <w:spacing w:after="0"/>
        <w:tabs>
          <w:tab w:leader="none" w:pos="6440" w:val="left"/>
        </w:tabs>
        <w:rPr>
          <w:sz w:val="20"/>
          <w:szCs w:val="20"/>
          <w:color w:val="auto"/>
        </w:rPr>
      </w:pPr>
      <w:r>
        <w:rPr>
          <w:rFonts w:ascii="Arial" w:cs="Arial" w:eastAsia="Arial" w:hAnsi="Arial"/>
          <w:sz w:val="18"/>
          <w:szCs w:val="18"/>
          <w:b w:val="1"/>
          <w:bCs w:val="1"/>
          <w:color w:val="F37F00"/>
        </w:rPr>
        <w:t>SEPTEMBER - NOVEMBER</w:t>
      </w:r>
      <w:r>
        <w:rPr>
          <w:sz w:val="20"/>
          <w:szCs w:val="20"/>
          <w:color w:val="auto"/>
        </w:rPr>
        <w:tab/>
      </w:r>
      <w:r>
        <w:rPr>
          <w:rFonts w:ascii="Arial" w:cs="Arial" w:eastAsia="Arial" w:hAnsi="Arial"/>
          <w:sz w:val="17"/>
          <w:szCs w:val="17"/>
          <w:b w:val="1"/>
          <w:bCs w:val="1"/>
          <w:color w:val="F37F00"/>
        </w:rPr>
        <w:t>DECEMBER – FEBRUARY</w:t>
      </w:r>
    </w:p>
    <w:p>
      <w:pPr>
        <w:sectPr>
          <w:pgSz w:w="11900" w:h="16838" w:orient="portrait"/>
          <w:cols w:equalWidth="0" w:num="1">
            <w:col w:w="10360"/>
          </w:cols>
          <w:pgMar w:left="440" w:top="106" w:right="1099" w:bottom="1440" w:gutter="0" w:footer="0" w:header="0"/>
        </w:sectPr>
      </w:pPr>
    </w:p>
    <w:p>
      <w:pPr>
        <w:spacing w:after="0" w:line="144" w:lineRule="exact"/>
        <w:rPr>
          <w:sz w:val="20"/>
          <w:szCs w:val="20"/>
          <w:color w:val="auto"/>
        </w:rPr>
      </w:pPr>
    </w:p>
    <w:p>
      <w:pPr>
        <w:ind w:left="1880" w:right="140" w:hanging="323"/>
        <w:spacing w:after="0" w:line="252" w:lineRule="auto"/>
        <w:tabs>
          <w:tab w:leader="none" w:pos="1880" w:val="left"/>
        </w:tabs>
        <w:numPr>
          <w:ilvl w:val="0"/>
          <w:numId w:val="76"/>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company and individual performance for prior year and approve annual incentive plan payouts</w:t>
      </w:r>
    </w:p>
    <w:p>
      <w:pPr>
        <w:spacing w:after="0" w:line="8" w:lineRule="exact"/>
        <w:rPr>
          <w:rFonts w:ascii="Times New Roman" w:cs="Times New Roman" w:eastAsia="Times New Roman" w:hAnsi="Times New Roman"/>
          <w:sz w:val="18"/>
          <w:szCs w:val="18"/>
          <w:color w:val="F37F00"/>
        </w:rPr>
      </w:pPr>
    </w:p>
    <w:p>
      <w:pPr>
        <w:ind w:left="1880" w:hanging="323"/>
        <w:spacing w:after="0" w:line="281" w:lineRule="auto"/>
        <w:tabs>
          <w:tab w:leader="none" w:pos="1880" w:val="left"/>
        </w:tabs>
        <w:numPr>
          <w:ilvl w:val="0"/>
          <w:numId w:val="76"/>
        </w:numPr>
        <w:rPr>
          <w:rFonts w:ascii="Times New Roman" w:cs="Times New Roman" w:eastAsia="Times New Roman" w:hAnsi="Times New Roman"/>
          <w:sz w:val="17"/>
          <w:szCs w:val="17"/>
          <w:color w:val="F37F00"/>
        </w:rPr>
      </w:pPr>
      <w:r>
        <w:rPr>
          <w:rFonts w:ascii="Arial" w:cs="Arial" w:eastAsia="Arial" w:hAnsi="Arial"/>
          <w:sz w:val="17"/>
          <w:szCs w:val="17"/>
          <w:color w:val="202124"/>
        </w:rPr>
        <w:t>Review and approve compensation disclosures to appear in Proxy Statement</w:t>
      </w:r>
    </w:p>
    <w:p>
      <w:pPr>
        <w:jc w:val="both"/>
        <w:ind w:left="1880" w:right="80" w:hanging="323"/>
        <w:spacing w:after="0" w:line="252" w:lineRule="auto"/>
        <w:tabs>
          <w:tab w:leader="none" w:pos="1880" w:val="left"/>
        </w:tabs>
        <w:numPr>
          <w:ilvl w:val="0"/>
          <w:numId w:val="76"/>
        </w:numPr>
        <w:rPr>
          <w:rFonts w:ascii="Times New Roman" w:cs="Times New Roman" w:eastAsia="Times New Roman" w:hAnsi="Times New Roman"/>
          <w:sz w:val="18"/>
          <w:szCs w:val="18"/>
          <w:color w:val="F37F00"/>
        </w:rPr>
      </w:pPr>
      <w:r>
        <w:rPr>
          <w:rFonts w:ascii="Arial" w:cs="Arial" w:eastAsia="Arial" w:hAnsi="Arial"/>
          <w:sz w:val="18"/>
          <w:szCs w:val="18"/>
          <w:color w:val="202124"/>
        </w:rPr>
        <w:t>Approve compensation levels, including base salary, annual incentive plan target and equity awards</w:t>
      </w:r>
    </w:p>
    <w:p>
      <w:pPr>
        <w:spacing w:after="0" w:line="8" w:lineRule="exact"/>
        <w:rPr>
          <w:rFonts w:ascii="Times New Roman" w:cs="Times New Roman" w:eastAsia="Times New Roman" w:hAnsi="Times New Roman"/>
          <w:sz w:val="18"/>
          <w:szCs w:val="18"/>
          <w:color w:val="F37F00"/>
        </w:rPr>
      </w:pPr>
    </w:p>
    <w:p>
      <w:pPr>
        <w:ind w:left="1880" w:right="280" w:hanging="323"/>
        <w:spacing w:after="0" w:line="265" w:lineRule="auto"/>
        <w:tabs>
          <w:tab w:leader="none" w:pos="1880" w:val="left"/>
        </w:tabs>
        <w:numPr>
          <w:ilvl w:val="0"/>
          <w:numId w:val="76"/>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feedback from Compensation Committee self-evaluation</w:t>
      </w:r>
    </w:p>
    <w:p>
      <w:pPr>
        <w:spacing w:after="0" w:line="1" w:lineRule="exact"/>
        <w:rPr>
          <w:rFonts w:ascii="Times New Roman" w:cs="Times New Roman" w:eastAsia="Times New Roman" w:hAnsi="Times New Roman"/>
          <w:sz w:val="18"/>
          <w:szCs w:val="18"/>
          <w:color w:val="F37F00"/>
        </w:rPr>
      </w:pPr>
    </w:p>
    <w:p>
      <w:pPr>
        <w:ind w:left="1880" w:right="920" w:hanging="323"/>
        <w:spacing w:after="0" w:line="300" w:lineRule="auto"/>
        <w:tabs>
          <w:tab w:leader="none" w:pos="1880" w:val="left"/>
        </w:tabs>
        <w:numPr>
          <w:ilvl w:val="0"/>
          <w:numId w:val="76"/>
        </w:numPr>
        <w:rPr>
          <w:rFonts w:ascii="Times New Roman" w:cs="Times New Roman" w:eastAsia="Times New Roman" w:hAnsi="Times New Roman"/>
          <w:sz w:val="17"/>
          <w:szCs w:val="17"/>
          <w:color w:val="F37F00"/>
        </w:rPr>
      </w:pPr>
      <w:r>
        <w:rPr>
          <w:rFonts w:ascii="Arial" w:cs="Arial" w:eastAsia="Arial" w:hAnsi="Arial"/>
          <w:sz w:val="17"/>
          <w:szCs w:val="17"/>
          <w:color w:val="202124"/>
        </w:rPr>
        <w:t>Review executive compliance with stock ownership policy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32" w:right="980" w:hanging="332"/>
        <w:spacing w:after="0" w:line="265" w:lineRule="auto"/>
        <w:tabs>
          <w:tab w:leader="none" w:pos="332" w:val="left"/>
        </w:tabs>
        <w:numPr>
          <w:ilvl w:val="0"/>
          <w:numId w:val="77"/>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year-to-date results against annual incentive plan targets</w:t>
      </w:r>
    </w:p>
    <w:p>
      <w:pPr>
        <w:spacing w:after="0" w:line="1" w:lineRule="exact"/>
        <w:rPr>
          <w:rFonts w:ascii="Times New Roman" w:cs="Times New Roman" w:eastAsia="Times New Roman" w:hAnsi="Times New Roman"/>
          <w:sz w:val="18"/>
          <w:szCs w:val="18"/>
          <w:color w:val="F37F00"/>
        </w:rPr>
      </w:pPr>
    </w:p>
    <w:p>
      <w:pPr>
        <w:ind w:left="332" w:right="1380" w:hanging="332"/>
        <w:spacing w:after="0" w:line="265" w:lineRule="auto"/>
        <w:tabs>
          <w:tab w:leader="none" w:pos="332" w:val="left"/>
        </w:tabs>
        <w:numPr>
          <w:ilvl w:val="0"/>
          <w:numId w:val="77"/>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Say-on-Pay results and proxy advisory firm analyses</w:t>
      </w:r>
    </w:p>
    <w:p>
      <w:pPr>
        <w:spacing w:after="0" w:line="1" w:lineRule="exact"/>
        <w:rPr>
          <w:rFonts w:ascii="Times New Roman" w:cs="Times New Roman" w:eastAsia="Times New Roman" w:hAnsi="Times New Roman"/>
          <w:sz w:val="18"/>
          <w:szCs w:val="18"/>
          <w:color w:val="F37F00"/>
        </w:rPr>
      </w:pPr>
    </w:p>
    <w:p>
      <w:pPr>
        <w:ind w:left="332" w:right="1260" w:hanging="332"/>
        <w:spacing w:after="0" w:line="265" w:lineRule="auto"/>
        <w:tabs>
          <w:tab w:leader="none" w:pos="332" w:val="left"/>
        </w:tabs>
        <w:numPr>
          <w:ilvl w:val="0"/>
          <w:numId w:val="77"/>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compliance with Compensation Committee Charter</w:t>
      </w:r>
    </w:p>
    <w:p>
      <w:pPr>
        <w:spacing w:after="0" w:line="1" w:lineRule="exact"/>
        <w:rPr>
          <w:rFonts w:ascii="Times New Roman" w:cs="Times New Roman" w:eastAsia="Times New Roman" w:hAnsi="Times New Roman"/>
          <w:sz w:val="18"/>
          <w:szCs w:val="18"/>
          <w:color w:val="F37F00"/>
        </w:rPr>
      </w:pPr>
    </w:p>
    <w:p>
      <w:pPr>
        <w:ind w:left="332" w:hanging="332"/>
        <w:spacing w:after="0"/>
        <w:tabs>
          <w:tab w:leader="none" w:pos="332" w:val="left"/>
        </w:tabs>
        <w:numPr>
          <w:ilvl w:val="0"/>
          <w:numId w:val="77"/>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director compensation (biennially)</w:t>
      </w:r>
    </w:p>
    <w:p>
      <w:pPr>
        <w:spacing w:after="0" w:line="62" w:lineRule="exact"/>
        <w:rPr>
          <w:rFonts w:ascii="Times New Roman" w:cs="Times New Roman" w:eastAsia="Times New Roman" w:hAnsi="Times New Roman"/>
          <w:sz w:val="18"/>
          <w:szCs w:val="18"/>
          <w:color w:val="F37F00"/>
        </w:rPr>
      </w:pPr>
    </w:p>
    <w:p>
      <w:pPr>
        <w:ind w:left="1112" w:right="1040" w:hanging="329"/>
        <w:spacing w:after="0" w:line="270" w:lineRule="auto"/>
        <w:tabs>
          <w:tab w:leader="none" w:pos="1112" w:val="left"/>
        </w:tabs>
        <w:numPr>
          <w:ilvl w:val="1"/>
          <w:numId w:val="77"/>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director compliance with stock ownership policy</w:t>
      </w:r>
    </w:p>
    <w:p>
      <w:pPr>
        <w:spacing w:after="0" w:line="817" w:lineRule="exact"/>
        <w:rPr>
          <w:sz w:val="20"/>
          <w:szCs w:val="20"/>
          <w:color w:val="auto"/>
        </w:rPr>
      </w:pPr>
    </w:p>
    <w:p>
      <w:pPr>
        <w:sectPr>
          <w:pgSz w:w="11900" w:h="16838" w:orient="portrait"/>
          <w:cols w:equalWidth="0" w:num="2">
            <w:col w:w="5160" w:space="488"/>
            <w:col w:w="4712"/>
          </w:cols>
          <w:pgMar w:left="440" w:top="106" w:right="109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F37F00"/>
        </w:rPr>
        <w:t>JUNE – AUGUST</w:t>
      </w:r>
    </w:p>
    <w:p>
      <w:pPr>
        <w:spacing w:after="0" w:line="131" w:lineRule="exact"/>
        <w:rPr>
          <w:sz w:val="20"/>
          <w:szCs w:val="20"/>
          <w:color w:val="auto"/>
        </w:rPr>
      </w:pPr>
    </w:p>
    <w:p>
      <w:pPr>
        <w:ind w:left="1880" w:right="1140" w:hanging="323"/>
        <w:spacing w:after="0" w:line="252" w:lineRule="auto"/>
        <w:tabs>
          <w:tab w:leader="none" w:pos="1880" w:val="left"/>
        </w:tabs>
        <w:numPr>
          <w:ilvl w:val="0"/>
          <w:numId w:val="7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year-to-date results against annual incentive plan targets</w:t>
      </w:r>
    </w:p>
    <w:p>
      <w:pPr>
        <w:spacing w:after="0" w:line="8" w:lineRule="exact"/>
        <w:rPr>
          <w:rFonts w:ascii="Times New Roman" w:cs="Times New Roman" w:eastAsia="Times New Roman" w:hAnsi="Times New Roman"/>
          <w:sz w:val="18"/>
          <w:szCs w:val="18"/>
          <w:color w:val="F37F00"/>
        </w:rPr>
      </w:pPr>
    </w:p>
    <w:p>
      <w:pPr>
        <w:ind w:left="1880" w:right="320" w:hanging="323"/>
        <w:spacing w:after="0" w:line="265" w:lineRule="auto"/>
        <w:tabs>
          <w:tab w:leader="none" w:pos="1880" w:val="left"/>
        </w:tabs>
        <w:numPr>
          <w:ilvl w:val="0"/>
          <w:numId w:val="7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composition of Peer Group and approve any changes</w:t>
      </w:r>
    </w:p>
    <w:p>
      <w:pPr>
        <w:spacing w:after="0" w:line="1" w:lineRule="exact"/>
        <w:rPr>
          <w:rFonts w:ascii="Times New Roman" w:cs="Times New Roman" w:eastAsia="Times New Roman" w:hAnsi="Times New Roman"/>
          <w:sz w:val="18"/>
          <w:szCs w:val="18"/>
          <w:color w:val="F37F00"/>
        </w:rPr>
      </w:pPr>
    </w:p>
    <w:p>
      <w:pPr>
        <w:ind w:left="1880" w:right="200" w:hanging="323"/>
        <w:spacing w:after="0" w:line="252" w:lineRule="auto"/>
        <w:tabs>
          <w:tab w:leader="none" w:pos="1880" w:val="left"/>
        </w:tabs>
        <w:numPr>
          <w:ilvl w:val="0"/>
          <w:numId w:val="7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trends and best practices, due to legislative and regulatory changes or otherwise</w:t>
      </w:r>
    </w:p>
    <w:p>
      <w:pPr>
        <w:spacing w:after="0" w:line="8" w:lineRule="exact"/>
        <w:rPr>
          <w:rFonts w:ascii="Times New Roman" w:cs="Times New Roman" w:eastAsia="Times New Roman" w:hAnsi="Times New Roman"/>
          <w:sz w:val="18"/>
          <w:szCs w:val="18"/>
          <w:color w:val="F37F00"/>
        </w:rPr>
      </w:pPr>
    </w:p>
    <w:p>
      <w:pPr>
        <w:ind w:left="1880" w:hanging="323"/>
        <w:spacing w:after="0" w:line="265" w:lineRule="auto"/>
        <w:tabs>
          <w:tab w:leader="none" w:pos="1880" w:val="left"/>
        </w:tabs>
        <w:numPr>
          <w:ilvl w:val="0"/>
          <w:numId w:val="78"/>
        </w:numPr>
        <w:rPr>
          <w:rFonts w:ascii="Times New Roman" w:cs="Times New Roman" w:eastAsia="Times New Roman" w:hAnsi="Times New Roman"/>
          <w:sz w:val="18"/>
          <w:szCs w:val="18"/>
          <w:color w:val="F37F00"/>
        </w:rPr>
      </w:pPr>
      <w:r>
        <w:rPr>
          <w:rFonts w:ascii="Arial" w:cs="Arial" w:eastAsia="Arial" w:hAnsi="Arial"/>
          <w:sz w:val="18"/>
          <w:szCs w:val="18"/>
          <w:color w:val="202124"/>
        </w:rPr>
        <w:t>Discuss potential changes to compensation plans or policies</w:t>
      </w:r>
    </w:p>
    <w:p>
      <w:pPr>
        <w:spacing w:after="0" w:line="1" w:lineRule="exact"/>
        <w:rPr>
          <w:rFonts w:ascii="Times New Roman" w:cs="Times New Roman" w:eastAsia="Times New Roman" w:hAnsi="Times New Roman"/>
          <w:sz w:val="18"/>
          <w:szCs w:val="18"/>
          <w:color w:val="F37F00"/>
        </w:rPr>
      </w:pPr>
    </w:p>
    <w:p>
      <w:pPr>
        <w:ind w:left="1880" w:hanging="323"/>
        <w:spacing w:after="0"/>
        <w:tabs>
          <w:tab w:leader="none" w:pos="1880" w:val="left"/>
        </w:tabs>
        <w:numPr>
          <w:ilvl w:val="0"/>
          <w:numId w:val="78"/>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consultant independence and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1312"/>
        <w:spacing w:after="0"/>
        <w:rPr>
          <w:sz w:val="20"/>
          <w:szCs w:val="20"/>
          <w:color w:val="auto"/>
        </w:rPr>
      </w:pPr>
      <w:r>
        <w:rPr>
          <w:rFonts w:ascii="Arial" w:cs="Arial" w:eastAsia="Arial" w:hAnsi="Arial"/>
          <w:sz w:val="18"/>
          <w:szCs w:val="18"/>
          <w:b w:val="1"/>
          <w:bCs w:val="1"/>
          <w:color w:val="F37F00"/>
        </w:rPr>
        <w:t>MARCH - MAY</w:t>
      </w:r>
    </w:p>
    <w:p>
      <w:pPr>
        <w:spacing w:after="0" w:line="131" w:lineRule="exact"/>
        <w:rPr>
          <w:sz w:val="20"/>
          <w:szCs w:val="20"/>
          <w:color w:val="auto"/>
        </w:rPr>
      </w:pPr>
    </w:p>
    <w:p>
      <w:pPr>
        <w:ind w:left="1232" w:right="1160" w:hanging="328"/>
        <w:spacing w:after="0" w:line="252" w:lineRule="auto"/>
        <w:tabs>
          <w:tab w:leader="none" w:pos="1232" w:val="left"/>
        </w:tabs>
        <w:numPr>
          <w:ilvl w:val="1"/>
          <w:numId w:val="79"/>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year-to-date results against annual incentive plan targets</w:t>
      </w:r>
    </w:p>
    <w:p>
      <w:pPr>
        <w:spacing w:after="0" w:line="8" w:lineRule="exact"/>
        <w:rPr>
          <w:rFonts w:ascii="Times New Roman" w:cs="Times New Roman" w:eastAsia="Times New Roman" w:hAnsi="Times New Roman"/>
          <w:sz w:val="18"/>
          <w:szCs w:val="18"/>
          <w:color w:val="F37F00"/>
        </w:rPr>
      </w:pPr>
    </w:p>
    <w:p>
      <w:pPr>
        <w:ind w:left="332" w:hanging="332"/>
        <w:spacing w:after="0"/>
        <w:tabs>
          <w:tab w:leader="none" w:pos="332" w:val="left"/>
        </w:tabs>
        <w:numPr>
          <w:ilvl w:val="0"/>
          <w:numId w:val="79"/>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share-based expense trend</w:t>
      </w:r>
    </w:p>
    <w:p>
      <w:pPr>
        <w:spacing w:after="0" w:line="62" w:lineRule="exact"/>
        <w:rPr>
          <w:rFonts w:ascii="Times New Roman" w:cs="Times New Roman" w:eastAsia="Times New Roman" w:hAnsi="Times New Roman"/>
          <w:sz w:val="18"/>
          <w:szCs w:val="18"/>
          <w:color w:val="F37F00"/>
        </w:rPr>
      </w:pPr>
    </w:p>
    <w:p>
      <w:pPr>
        <w:ind w:left="332" w:right="1560" w:hanging="332"/>
        <w:spacing w:after="0" w:line="265" w:lineRule="auto"/>
        <w:tabs>
          <w:tab w:leader="none" w:pos="332" w:val="left"/>
        </w:tabs>
        <w:numPr>
          <w:ilvl w:val="0"/>
          <w:numId w:val="79"/>
        </w:numPr>
        <w:rPr>
          <w:rFonts w:ascii="Times New Roman" w:cs="Times New Roman" w:eastAsia="Times New Roman" w:hAnsi="Times New Roman"/>
          <w:sz w:val="18"/>
          <w:szCs w:val="18"/>
          <w:color w:val="F37F00"/>
        </w:rPr>
      </w:pPr>
      <w:r>
        <w:rPr>
          <w:rFonts w:ascii="Arial" w:cs="Arial" w:eastAsia="Arial" w:hAnsi="Arial"/>
          <w:sz w:val="18"/>
          <w:szCs w:val="18"/>
          <w:color w:val="202124"/>
        </w:rPr>
        <w:t>Discuss feedback from shareholder engagement</w:t>
      </w:r>
    </w:p>
    <w:p>
      <w:pPr>
        <w:spacing w:after="0" w:line="1" w:lineRule="exact"/>
        <w:rPr>
          <w:rFonts w:ascii="Times New Roman" w:cs="Times New Roman" w:eastAsia="Times New Roman" w:hAnsi="Times New Roman"/>
          <w:sz w:val="18"/>
          <w:szCs w:val="18"/>
          <w:color w:val="F37F00"/>
        </w:rPr>
      </w:pPr>
    </w:p>
    <w:p>
      <w:pPr>
        <w:ind w:left="332" w:right="1060" w:hanging="332"/>
        <w:spacing w:after="0" w:line="265" w:lineRule="auto"/>
        <w:tabs>
          <w:tab w:leader="none" w:pos="332" w:val="left"/>
        </w:tabs>
        <w:numPr>
          <w:ilvl w:val="0"/>
          <w:numId w:val="79"/>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compensation plans and potential changes for following year</w:t>
      </w:r>
    </w:p>
    <w:p>
      <w:pPr>
        <w:spacing w:after="0" w:line="1" w:lineRule="exact"/>
        <w:rPr>
          <w:rFonts w:ascii="Times New Roman" w:cs="Times New Roman" w:eastAsia="Times New Roman" w:hAnsi="Times New Roman"/>
          <w:sz w:val="18"/>
          <w:szCs w:val="18"/>
          <w:color w:val="F37F00"/>
        </w:rPr>
      </w:pPr>
    </w:p>
    <w:p>
      <w:pPr>
        <w:ind w:left="332" w:right="820" w:hanging="332"/>
        <w:spacing w:after="0" w:line="265" w:lineRule="auto"/>
        <w:tabs>
          <w:tab w:leader="none" w:pos="332" w:val="left"/>
        </w:tabs>
        <w:numPr>
          <w:ilvl w:val="0"/>
          <w:numId w:val="79"/>
        </w:numPr>
        <w:rPr>
          <w:rFonts w:ascii="Times New Roman" w:cs="Times New Roman" w:eastAsia="Times New Roman" w:hAnsi="Times New Roman"/>
          <w:sz w:val="18"/>
          <w:szCs w:val="18"/>
          <w:color w:val="F37F00"/>
        </w:rPr>
      </w:pPr>
      <w:r>
        <w:rPr>
          <w:rFonts w:ascii="Arial" w:cs="Arial" w:eastAsia="Arial" w:hAnsi="Arial"/>
          <w:sz w:val="18"/>
          <w:szCs w:val="18"/>
          <w:color w:val="202124"/>
        </w:rPr>
        <w:t>Review findings from compensation program risk assessment</w:t>
      </w:r>
    </w:p>
    <w:p>
      <w:pPr>
        <w:spacing w:after="0" w:line="1" w:lineRule="exact"/>
        <w:rPr>
          <w:rFonts w:ascii="Times New Roman" w:cs="Times New Roman" w:eastAsia="Times New Roman" w:hAnsi="Times New Roman"/>
          <w:sz w:val="18"/>
          <w:szCs w:val="18"/>
          <w:color w:val="F37F00"/>
        </w:rPr>
      </w:pPr>
    </w:p>
    <w:p>
      <w:pPr>
        <w:ind w:left="332" w:right="1000" w:hanging="332"/>
        <w:spacing w:after="0" w:line="270" w:lineRule="auto"/>
        <w:tabs>
          <w:tab w:leader="none" w:pos="332" w:val="left"/>
        </w:tabs>
        <w:numPr>
          <w:ilvl w:val="0"/>
          <w:numId w:val="79"/>
        </w:numPr>
        <w:rPr>
          <w:rFonts w:ascii="Times New Roman" w:cs="Times New Roman" w:eastAsia="Times New Roman" w:hAnsi="Times New Roman"/>
          <w:sz w:val="18"/>
          <w:szCs w:val="18"/>
          <w:color w:val="F37F00"/>
        </w:rPr>
      </w:pPr>
      <w:r>
        <w:rPr>
          <w:rFonts w:ascii="Arial" w:cs="Arial" w:eastAsia="Arial" w:hAnsi="Arial"/>
          <w:sz w:val="18"/>
          <w:szCs w:val="18"/>
          <w:color w:val="202124"/>
        </w:rPr>
        <w:t>Discuss compensation levels for executive officers for following year</w:t>
      </w:r>
    </w:p>
    <w:p>
      <w:pPr>
        <w:spacing w:after="0" w:line="200" w:lineRule="exact"/>
        <w:rPr>
          <w:sz w:val="20"/>
          <w:szCs w:val="20"/>
          <w:color w:val="auto"/>
        </w:rPr>
      </w:pPr>
    </w:p>
    <w:p>
      <w:pPr>
        <w:sectPr>
          <w:pgSz w:w="11900" w:h="16838" w:orient="portrait"/>
          <w:cols w:equalWidth="0" w:num="2">
            <w:col w:w="5340" w:space="308"/>
            <w:col w:w="4712"/>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48   </w:t>
      </w:r>
      <w:r>
        <w:rPr>
          <w:sz w:val="1"/>
          <w:szCs w:val="1"/>
          <w:color w:val="auto"/>
        </w:rPr>
        <w:drawing>
          <wp:inline distT="0" distB="0" distL="0" distR="0">
            <wp:extent cx="1165860" cy="137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BENCHMARKING</w:t>
      </w:r>
    </w:p>
    <w:p>
      <w:pPr>
        <w:spacing w:after="0" w:line="171" w:lineRule="exact"/>
        <w:rPr>
          <w:sz w:val="20"/>
          <w:szCs w:val="20"/>
          <w:color w:val="auto"/>
        </w:rPr>
      </w:pPr>
    </w:p>
    <w:p>
      <w:pPr>
        <w:ind w:left="640" w:right="960"/>
        <w:spacing w:after="0" w:line="271" w:lineRule="auto"/>
        <w:rPr>
          <w:sz w:val="20"/>
          <w:szCs w:val="20"/>
          <w:color w:val="auto"/>
        </w:rPr>
      </w:pPr>
      <w:r>
        <w:rPr>
          <w:rFonts w:ascii="Arial" w:cs="Arial" w:eastAsia="Arial" w:hAnsi="Arial"/>
          <w:sz w:val="18"/>
          <w:szCs w:val="18"/>
          <w:color w:val="202124"/>
        </w:rPr>
        <w:t>AutoZone reviews publicly available data from a peer group of companies to help us ensure that our executive compensation programs remain effective in carrying out our Guiding Principles.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Peer Group Composition</w:t>
      </w:r>
    </w:p>
    <w:p>
      <w:pPr>
        <w:spacing w:after="0" w:line="185" w:lineRule="exact"/>
        <w:rPr>
          <w:sz w:val="20"/>
          <w:szCs w:val="20"/>
          <w:color w:val="auto"/>
        </w:rPr>
      </w:pPr>
    </w:p>
    <w:p>
      <w:pPr>
        <w:ind w:left="640" w:right="80"/>
        <w:spacing w:after="0"/>
        <w:rPr>
          <w:sz w:val="20"/>
          <w:szCs w:val="20"/>
          <w:color w:val="auto"/>
        </w:rPr>
      </w:pPr>
      <w:r>
        <w:rPr>
          <w:rFonts w:ascii="Arial" w:cs="Arial" w:eastAsia="Arial" w:hAnsi="Arial"/>
          <w:sz w:val="18"/>
          <w:szCs w:val="18"/>
          <w:color w:val="202124"/>
        </w:rPr>
        <w:t>Our peer group is composed of direct competitors; companies with which we compete for talent, customers and capital; and companies with a comparable range of key financial measures and business model (e.g. retailer and distributor). Such companies are likely to have executive positions comparable in breadth, complexity and scope of responsibility to ours. The peer group data we use is from proxy filings and other published sources – it is not prepared or compiled especially for AutoZone. We annually review the appropriateness of this peer group. It typically has changed when a peer company experiences events such as acquisitions and spin-offs, or in the event a member company experiences significant performance challenges.</w:t>
      </w:r>
    </w:p>
    <w:p>
      <w:pPr>
        <w:spacing w:after="0" w:line="109" w:lineRule="exact"/>
        <w:rPr>
          <w:sz w:val="20"/>
          <w:szCs w:val="20"/>
          <w:color w:val="auto"/>
        </w:rPr>
      </w:pPr>
    </w:p>
    <w:tbl>
      <w:tblPr>
        <w:tblLayout w:type="fixed"/>
        <w:tblInd w:w="640" w:type="dxa"/>
        <w:tblCellMar>
          <w:top w:w="0" w:type="dxa"/>
          <w:left w:w="0" w:type="dxa"/>
          <w:bottom w:w="0" w:type="dxa"/>
          <w:right w:w="0" w:type="dxa"/>
        </w:tblCellMar>
      </w:tblPr>
      <w:tr>
        <w:trPr>
          <w:trHeight w:val="68"/>
        </w:trPr>
        <w:tc>
          <w:tcPr>
            <w:tcW w:w="120" w:type="dxa"/>
            <w:vAlign w:val="bottom"/>
            <w:shd w:val="clear" w:color="auto" w:fill="D9D9D9"/>
          </w:tcPr>
          <w:p>
            <w:pPr>
              <w:spacing w:after="0"/>
              <w:rPr>
                <w:sz w:val="5"/>
                <w:szCs w:val="5"/>
                <w:color w:val="auto"/>
              </w:rPr>
            </w:pPr>
          </w:p>
        </w:tc>
        <w:tc>
          <w:tcPr>
            <w:tcW w:w="560" w:type="dxa"/>
            <w:vAlign w:val="bottom"/>
            <w:shd w:val="clear" w:color="auto" w:fill="D9D9D9"/>
          </w:tcPr>
          <w:p>
            <w:pPr>
              <w:spacing w:after="0"/>
              <w:rPr>
                <w:sz w:val="5"/>
                <w:szCs w:val="5"/>
                <w:color w:val="auto"/>
              </w:rPr>
            </w:pPr>
          </w:p>
        </w:tc>
        <w:tc>
          <w:tcPr>
            <w:tcW w:w="234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236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2920" w:type="dxa"/>
            <w:vAlign w:val="bottom"/>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r>
      <w:tr>
        <w:trPr>
          <w:trHeight w:val="336"/>
        </w:trPr>
        <w:tc>
          <w:tcPr>
            <w:tcW w:w="120" w:type="dxa"/>
            <w:vAlign w:val="bottom"/>
            <w:shd w:val="clear" w:color="auto" w:fill="D9D9D9"/>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tcPr>
          <w:p>
            <w:pPr>
              <w:ind w:left="460"/>
              <w:spacing w:after="0"/>
              <w:rPr>
                <w:sz w:val="20"/>
                <w:szCs w:val="20"/>
                <w:color w:val="auto"/>
              </w:rPr>
            </w:pPr>
            <w:r>
              <w:rPr>
                <w:rFonts w:ascii="Arial" w:cs="Arial" w:eastAsia="Arial" w:hAnsi="Arial"/>
                <w:sz w:val="18"/>
                <w:szCs w:val="18"/>
                <w:b w:val="1"/>
                <w:bCs w:val="1"/>
                <w:color w:val="202124"/>
              </w:rPr>
              <w:t>FY26 Peer Group</w:t>
            </w:r>
          </w:p>
        </w:tc>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shd w:val="clear" w:color="auto" w:fill="D9D9D9"/>
          </w:tcPr>
          <w:p>
            <w:pPr>
              <w:spacing w:after="0"/>
              <w:rPr>
                <w:sz w:val="24"/>
                <w:szCs w:val="24"/>
                <w:color w:val="auto"/>
              </w:rPr>
            </w:pPr>
          </w:p>
        </w:tc>
      </w:tr>
      <w:tr>
        <w:trPr>
          <w:trHeight w:val="280"/>
        </w:trPr>
        <w:tc>
          <w:tcPr>
            <w:tcW w:w="120" w:type="dxa"/>
            <w:vAlign w:val="bottom"/>
            <w:shd w:val="clear" w:color="auto" w:fill="D9D9D9"/>
          </w:tcPr>
          <w:p>
            <w:pPr>
              <w:spacing w:after="0"/>
              <w:rPr>
                <w:sz w:val="24"/>
                <w:szCs w:val="2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F37F00"/>
              </w:rPr>
              <w:t>●</w:t>
            </w:r>
          </w:p>
        </w:tc>
        <w:tc>
          <w:tcPr>
            <w:tcW w:w="2340" w:type="dxa"/>
            <w:vAlign w:val="bottom"/>
          </w:tcPr>
          <w:p>
            <w:pPr>
              <w:ind w:left="100"/>
              <w:spacing w:after="0"/>
              <w:rPr>
                <w:sz w:val="20"/>
                <w:szCs w:val="20"/>
                <w:color w:val="auto"/>
              </w:rPr>
            </w:pPr>
            <w:r>
              <w:rPr>
                <w:rFonts w:ascii="Arial" w:cs="Arial" w:eastAsia="Arial" w:hAnsi="Arial"/>
                <w:sz w:val="18"/>
                <w:szCs w:val="18"/>
                <w:color w:val="202124"/>
              </w:rPr>
              <w:t>Advance Auto Parts</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F37F00"/>
              </w:rPr>
              <w:t>●</w:t>
            </w:r>
          </w:p>
        </w:tc>
        <w:tc>
          <w:tcPr>
            <w:tcW w:w="2360" w:type="dxa"/>
            <w:vAlign w:val="bottom"/>
          </w:tcPr>
          <w:p>
            <w:pPr>
              <w:ind w:left="120"/>
              <w:spacing w:after="0"/>
              <w:rPr>
                <w:sz w:val="20"/>
                <w:szCs w:val="20"/>
                <w:color w:val="auto"/>
              </w:rPr>
            </w:pPr>
            <w:r>
              <w:rPr>
                <w:rFonts w:ascii="Arial" w:cs="Arial" w:eastAsia="Arial" w:hAnsi="Arial"/>
                <w:sz w:val="18"/>
                <w:szCs w:val="18"/>
                <w:color w:val="202124"/>
              </w:rPr>
              <w:t>Dollar Tree</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F37F00"/>
              </w:rPr>
              <w:t>●</w:t>
            </w:r>
          </w:p>
        </w:tc>
        <w:tc>
          <w:tcPr>
            <w:tcW w:w="2920" w:type="dxa"/>
            <w:vAlign w:val="bottom"/>
          </w:tcPr>
          <w:p>
            <w:pPr>
              <w:ind w:left="120"/>
              <w:spacing w:after="0"/>
              <w:rPr>
                <w:sz w:val="20"/>
                <w:szCs w:val="20"/>
                <w:color w:val="auto"/>
              </w:rPr>
            </w:pPr>
            <w:r>
              <w:rPr>
                <w:rFonts w:ascii="Arial" w:cs="Arial" w:eastAsia="Arial" w:hAnsi="Arial"/>
                <w:sz w:val="18"/>
                <w:szCs w:val="18"/>
                <w:color w:val="202124"/>
              </w:rPr>
              <w:t>Sherwin Williams</w:t>
            </w:r>
          </w:p>
        </w:tc>
        <w:tc>
          <w:tcPr>
            <w:tcW w:w="100" w:type="dxa"/>
            <w:vAlign w:val="bottom"/>
            <w:shd w:val="clear" w:color="auto" w:fill="D9D9D9"/>
          </w:tcPr>
          <w:p>
            <w:pPr>
              <w:spacing w:after="0"/>
              <w:rPr>
                <w:sz w:val="24"/>
                <w:szCs w:val="24"/>
                <w:color w:val="auto"/>
              </w:rPr>
            </w:pPr>
          </w:p>
        </w:tc>
      </w:tr>
      <w:tr>
        <w:trPr>
          <w:trHeight w:val="216"/>
        </w:trPr>
        <w:tc>
          <w:tcPr>
            <w:tcW w:w="120" w:type="dxa"/>
            <w:vAlign w:val="bottom"/>
            <w:shd w:val="clear" w:color="auto" w:fill="D9D9D9"/>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F37F00"/>
              </w:rPr>
              <w:t>●</w:t>
            </w:r>
          </w:p>
        </w:tc>
        <w:tc>
          <w:tcPr>
            <w:tcW w:w="2340" w:type="dxa"/>
            <w:vAlign w:val="bottom"/>
          </w:tcPr>
          <w:p>
            <w:pPr>
              <w:ind w:left="100"/>
              <w:spacing w:after="0"/>
              <w:rPr>
                <w:sz w:val="20"/>
                <w:szCs w:val="20"/>
                <w:color w:val="auto"/>
              </w:rPr>
            </w:pPr>
            <w:r>
              <w:rPr>
                <w:rFonts w:ascii="Arial" w:cs="Arial" w:eastAsia="Arial" w:hAnsi="Arial"/>
                <w:sz w:val="18"/>
                <w:szCs w:val="18"/>
                <w:color w:val="202124"/>
              </w:rPr>
              <w:t>BJ’s Wholesale Club</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F37F00"/>
              </w:rPr>
              <w:t>●</w:t>
            </w:r>
          </w:p>
        </w:tc>
        <w:tc>
          <w:tcPr>
            <w:tcW w:w="2360" w:type="dxa"/>
            <w:vAlign w:val="bottom"/>
          </w:tcPr>
          <w:p>
            <w:pPr>
              <w:ind w:left="120"/>
              <w:spacing w:after="0"/>
              <w:rPr>
                <w:sz w:val="20"/>
                <w:szCs w:val="20"/>
                <w:color w:val="auto"/>
              </w:rPr>
            </w:pPr>
            <w:r>
              <w:rPr>
                <w:rFonts w:ascii="Arial" w:cs="Arial" w:eastAsia="Arial" w:hAnsi="Arial"/>
                <w:sz w:val="18"/>
                <w:szCs w:val="18"/>
                <w:color w:val="202124"/>
              </w:rPr>
              <w:t>Genuine Parts</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F37F00"/>
              </w:rPr>
              <w:t>●</w:t>
            </w:r>
          </w:p>
        </w:tc>
        <w:tc>
          <w:tcPr>
            <w:tcW w:w="2920" w:type="dxa"/>
            <w:vAlign w:val="bottom"/>
          </w:tcPr>
          <w:p>
            <w:pPr>
              <w:ind w:left="120"/>
              <w:spacing w:after="0"/>
              <w:rPr>
                <w:sz w:val="20"/>
                <w:szCs w:val="20"/>
                <w:color w:val="auto"/>
              </w:rPr>
            </w:pPr>
            <w:r>
              <w:rPr>
                <w:rFonts w:ascii="Arial" w:cs="Arial" w:eastAsia="Arial" w:hAnsi="Arial"/>
                <w:sz w:val="18"/>
                <w:szCs w:val="18"/>
                <w:color w:val="202124"/>
              </w:rPr>
              <w:t>Tractor Supply Company</w:t>
            </w:r>
          </w:p>
        </w:tc>
        <w:tc>
          <w:tcPr>
            <w:tcW w:w="100" w:type="dxa"/>
            <w:vAlign w:val="bottom"/>
            <w:shd w:val="clear" w:color="auto" w:fill="D9D9D9"/>
          </w:tcPr>
          <w:p>
            <w:pPr>
              <w:spacing w:after="0"/>
              <w:rPr>
                <w:sz w:val="18"/>
                <w:szCs w:val="18"/>
                <w:color w:val="auto"/>
              </w:rPr>
            </w:pPr>
          </w:p>
        </w:tc>
      </w:tr>
      <w:tr>
        <w:trPr>
          <w:trHeight w:val="216"/>
        </w:trPr>
        <w:tc>
          <w:tcPr>
            <w:tcW w:w="120" w:type="dxa"/>
            <w:vAlign w:val="bottom"/>
            <w:shd w:val="clear" w:color="auto" w:fill="D9D9D9"/>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F37F00"/>
              </w:rPr>
              <w:t>●</w:t>
            </w:r>
          </w:p>
        </w:tc>
        <w:tc>
          <w:tcPr>
            <w:tcW w:w="2340" w:type="dxa"/>
            <w:vAlign w:val="bottom"/>
          </w:tcPr>
          <w:p>
            <w:pPr>
              <w:ind w:left="100"/>
              <w:spacing w:after="0"/>
              <w:rPr>
                <w:sz w:val="20"/>
                <w:szCs w:val="20"/>
                <w:color w:val="auto"/>
              </w:rPr>
            </w:pPr>
            <w:r>
              <w:rPr>
                <w:rFonts w:ascii="Arial" w:cs="Arial" w:eastAsia="Arial" w:hAnsi="Arial"/>
                <w:sz w:val="18"/>
                <w:szCs w:val="18"/>
                <w:color w:val="202124"/>
              </w:rPr>
              <w:t>Costco Wholesale</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F37F00"/>
              </w:rPr>
              <w:t>●</w:t>
            </w:r>
          </w:p>
        </w:tc>
        <w:tc>
          <w:tcPr>
            <w:tcW w:w="2360" w:type="dxa"/>
            <w:vAlign w:val="bottom"/>
          </w:tcPr>
          <w:p>
            <w:pPr>
              <w:ind w:left="120"/>
              <w:spacing w:after="0"/>
              <w:rPr>
                <w:sz w:val="20"/>
                <w:szCs w:val="20"/>
                <w:color w:val="auto"/>
              </w:rPr>
            </w:pPr>
            <w:r>
              <w:rPr>
                <w:rFonts w:ascii="Arial" w:cs="Arial" w:eastAsia="Arial" w:hAnsi="Arial"/>
                <w:sz w:val="18"/>
                <w:szCs w:val="18"/>
                <w:color w:val="202124"/>
              </w:rPr>
              <w:t>LKQ Corporation</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F37F00"/>
              </w:rPr>
              <w:t>●</w:t>
            </w:r>
          </w:p>
        </w:tc>
        <w:tc>
          <w:tcPr>
            <w:tcW w:w="2920" w:type="dxa"/>
            <w:vAlign w:val="bottom"/>
          </w:tcPr>
          <w:p>
            <w:pPr>
              <w:ind w:left="120"/>
              <w:spacing w:after="0"/>
              <w:rPr>
                <w:sz w:val="20"/>
                <w:szCs w:val="20"/>
                <w:color w:val="auto"/>
              </w:rPr>
            </w:pPr>
            <w:r>
              <w:rPr>
                <w:rFonts w:ascii="Arial" w:cs="Arial" w:eastAsia="Arial" w:hAnsi="Arial"/>
                <w:sz w:val="18"/>
                <w:szCs w:val="18"/>
                <w:color w:val="202124"/>
              </w:rPr>
              <w:t>Ulta Beauty</w:t>
            </w:r>
          </w:p>
        </w:tc>
        <w:tc>
          <w:tcPr>
            <w:tcW w:w="100" w:type="dxa"/>
            <w:vAlign w:val="bottom"/>
            <w:shd w:val="clear" w:color="auto" w:fill="D9D9D9"/>
          </w:tcPr>
          <w:p>
            <w:pPr>
              <w:spacing w:after="0"/>
              <w:rPr>
                <w:sz w:val="18"/>
                <w:szCs w:val="18"/>
                <w:color w:val="auto"/>
              </w:rPr>
            </w:pPr>
          </w:p>
        </w:tc>
      </w:tr>
      <w:tr>
        <w:trPr>
          <w:trHeight w:val="216"/>
        </w:trPr>
        <w:tc>
          <w:tcPr>
            <w:tcW w:w="120" w:type="dxa"/>
            <w:vAlign w:val="bottom"/>
            <w:shd w:val="clear" w:color="auto" w:fill="D9D9D9"/>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F37F00"/>
              </w:rPr>
              <w:t>●</w:t>
            </w:r>
          </w:p>
        </w:tc>
        <w:tc>
          <w:tcPr>
            <w:tcW w:w="2340" w:type="dxa"/>
            <w:vAlign w:val="bottom"/>
          </w:tcPr>
          <w:p>
            <w:pPr>
              <w:ind w:left="100"/>
              <w:spacing w:after="0"/>
              <w:rPr>
                <w:sz w:val="20"/>
                <w:szCs w:val="20"/>
                <w:color w:val="auto"/>
              </w:rPr>
            </w:pPr>
            <w:r>
              <w:rPr>
                <w:rFonts w:ascii="Arial" w:cs="Arial" w:eastAsia="Arial" w:hAnsi="Arial"/>
                <w:sz w:val="18"/>
                <w:szCs w:val="18"/>
                <w:color w:val="202124"/>
              </w:rPr>
              <w:t>Dick’s Sporting Goods</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F37F00"/>
              </w:rPr>
              <w:t>●</w:t>
            </w:r>
          </w:p>
        </w:tc>
        <w:tc>
          <w:tcPr>
            <w:tcW w:w="2360" w:type="dxa"/>
            <w:vAlign w:val="bottom"/>
          </w:tcPr>
          <w:p>
            <w:pPr>
              <w:ind w:left="120"/>
              <w:spacing w:after="0"/>
              <w:rPr>
                <w:sz w:val="20"/>
                <w:szCs w:val="20"/>
                <w:color w:val="auto"/>
              </w:rPr>
            </w:pPr>
            <w:r>
              <w:rPr>
                <w:rFonts w:ascii="Arial" w:cs="Arial" w:eastAsia="Arial" w:hAnsi="Arial"/>
                <w:sz w:val="18"/>
                <w:szCs w:val="18"/>
                <w:color w:val="202124"/>
              </w:rPr>
              <w:t>Lowe’s Companies</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F37F00"/>
              </w:rPr>
              <w:t>●</w:t>
            </w:r>
          </w:p>
        </w:tc>
        <w:tc>
          <w:tcPr>
            <w:tcW w:w="2920" w:type="dxa"/>
            <w:vAlign w:val="bottom"/>
          </w:tcPr>
          <w:p>
            <w:pPr>
              <w:ind w:left="120"/>
              <w:spacing w:after="0"/>
              <w:rPr>
                <w:sz w:val="20"/>
                <w:szCs w:val="20"/>
                <w:color w:val="auto"/>
              </w:rPr>
            </w:pPr>
            <w:r>
              <w:rPr>
                <w:rFonts w:ascii="Arial" w:cs="Arial" w:eastAsia="Arial" w:hAnsi="Arial"/>
                <w:sz w:val="18"/>
                <w:szCs w:val="18"/>
                <w:color w:val="202124"/>
              </w:rPr>
              <w:t>W.W. Grainger</w:t>
            </w:r>
          </w:p>
        </w:tc>
        <w:tc>
          <w:tcPr>
            <w:tcW w:w="100" w:type="dxa"/>
            <w:vAlign w:val="bottom"/>
            <w:shd w:val="clear" w:color="auto" w:fill="D9D9D9"/>
          </w:tcPr>
          <w:p>
            <w:pPr>
              <w:spacing w:after="0"/>
              <w:rPr>
                <w:sz w:val="18"/>
                <w:szCs w:val="18"/>
                <w:color w:val="auto"/>
              </w:rPr>
            </w:pPr>
          </w:p>
        </w:tc>
      </w:tr>
      <w:tr>
        <w:trPr>
          <w:trHeight w:val="239"/>
        </w:trPr>
        <w:tc>
          <w:tcPr>
            <w:tcW w:w="120" w:type="dxa"/>
            <w:vAlign w:val="bottom"/>
            <w:shd w:val="clear" w:color="auto" w:fill="D9D9D9"/>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F37F00"/>
              </w:rPr>
              <w:t>●</w:t>
            </w:r>
          </w:p>
        </w:tc>
        <w:tc>
          <w:tcPr>
            <w:tcW w:w="2340" w:type="dxa"/>
            <w:vAlign w:val="bottom"/>
          </w:tcPr>
          <w:p>
            <w:pPr>
              <w:ind w:left="100"/>
              <w:spacing w:after="0"/>
              <w:rPr>
                <w:sz w:val="20"/>
                <w:szCs w:val="20"/>
                <w:color w:val="auto"/>
              </w:rPr>
            </w:pPr>
            <w:r>
              <w:rPr>
                <w:rFonts w:ascii="Arial" w:cs="Arial" w:eastAsia="Arial" w:hAnsi="Arial"/>
                <w:sz w:val="18"/>
                <w:szCs w:val="18"/>
                <w:color w:val="202124"/>
              </w:rPr>
              <w:t>Dollar General</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F37F00"/>
              </w:rPr>
              <w:t>●</w:t>
            </w:r>
          </w:p>
        </w:tc>
        <w:tc>
          <w:tcPr>
            <w:tcW w:w="2360" w:type="dxa"/>
            <w:vAlign w:val="bottom"/>
          </w:tcPr>
          <w:p>
            <w:pPr>
              <w:ind w:left="120"/>
              <w:spacing w:after="0"/>
              <w:rPr>
                <w:sz w:val="20"/>
                <w:szCs w:val="20"/>
                <w:color w:val="auto"/>
              </w:rPr>
            </w:pPr>
            <w:r>
              <w:rPr>
                <w:rFonts w:ascii="Arial" w:cs="Arial" w:eastAsia="Arial" w:hAnsi="Arial"/>
                <w:sz w:val="18"/>
                <w:szCs w:val="18"/>
                <w:color w:val="202124"/>
              </w:rPr>
              <w:t>O’Reilly Automotive</w:t>
            </w:r>
          </w:p>
        </w:tc>
        <w:tc>
          <w:tcPr>
            <w:tcW w:w="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shd w:val="clear" w:color="auto" w:fill="D9D9D9"/>
          </w:tcPr>
          <w:p>
            <w:pPr>
              <w:spacing w:after="0"/>
              <w:rPr>
                <w:sz w:val="20"/>
                <w:szCs w:val="20"/>
                <w:color w:val="auto"/>
              </w:rPr>
            </w:pPr>
          </w:p>
        </w:tc>
      </w:tr>
      <w:tr>
        <w:trPr>
          <w:trHeight w:val="144"/>
        </w:trPr>
        <w:tc>
          <w:tcPr>
            <w:tcW w:w="120" w:type="dxa"/>
            <w:vAlign w:val="bottom"/>
            <w:shd w:val="clear" w:color="auto" w:fill="D9D9D9"/>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r>
      <w:tr>
        <w:trPr>
          <w:trHeight w:val="81"/>
        </w:trPr>
        <w:tc>
          <w:tcPr>
            <w:tcW w:w="120" w:type="dxa"/>
            <w:vAlign w:val="bottom"/>
            <w:shd w:val="clear" w:color="auto" w:fill="D9D9D9"/>
          </w:tcPr>
          <w:p>
            <w:pPr>
              <w:spacing w:after="0"/>
              <w:rPr>
                <w:sz w:val="7"/>
                <w:szCs w:val="7"/>
                <w:color w:val="auto"/>
              </w:rPr>
            </w:pPr>
          </w:p>
        </w:tc>
        <w:tc>
          <w:tcPr>
            <w:tcW w:w="560" w:type="dxa"/>
            <w:vAlign w:val="bottom"/>
            <w:shd w:val="clear" w:color="auto" w:fill="D9D9D9"/>
          </w:tcPr>
          <w:p>
            <w:pPr>
              <w:spacing w:after="0"/>
              <w:rPr>
                <w:sz w:val="7"/>
                <w:szCs w:val="7"/>
                <w:color w:val="auto"/>
              </w:rPr>
            </w:pPr>
          </w:p>
        </w:tc>
        <w:tc>
          <w:tcPr>
            <w:tcW w:w="2340" w:type="dxa"/>
            <w:vAlign w:val="bottom"/>
            <w:shd w:val="clear" w:color="auto" w:fill="D9D9D9"/>
          </w:tcPr>
          <w:p>
            <w:pPr>
              <w:spacing w:after="0"/>
              <w:rPr>
                <w:sz w:val="7"/>
                <w:szCs w:val="7"/>
                <w:color w:val="auto"/>
              </w:rPr>
            </w:pPr>
          </w:p>
        </w:tc>
        <w:tc>
          <w:tcPr>
            <w:tcW w:w="660" w:type="dxa"/>
            <w:vAlign w:val="bottom"/>
            <w:shd w:val="clear" w:color="auto" w:fill="D9D9D9"/>
          </w:tcPr>
          <w:p>
            <w:pPr>
              <w:spacing w:after="0"/>
              <w:rPr>
                <w:sz w:val="7"/>
                <w:szCs w:val="7"/>
                <w:color w:val="auto"/>
              </w:rPr>
            </w:pPr>
          </w:p>
        </w:tc>
        <w:tc>
          <w:tcPr>
            <w:tcW w:w="2360" w:type="dxa"/>
            <w:vAlign w:val="bottom"/>
            <w:shd w:val="clear" w:color="auto" w:fill="D9D9D9"/>
          </w:tcPr>
          <w:p>
            <w:pPr>
              <w:spacing w:after="0"/>
              <w:rPr>
                <w:sz w:val="7"/>
                <w:szCs w:val="7"/>
                <w:color w:val="auto"/>
              </w:rPr>
            </w:pPr>
          </w:p>
        </w:tc>
        <w:tc>
          <w:tcPr>
            <w:tcW w:w="660" w:type="dxa"/>
            <w:vAlign w:val="bottom"/>
            <w:shd w:val="clear" w:color="auto" w:fill="D9D9D9"/>
          </w:tcPr>
          <w:p>
            <w:pPr>
              <w:spacing w:after="0"/>
              <w:rPr>
                <w:sz w:val="7"/>
                <w:szCs w:val="7"/>
                <w:color w:val="auto"/>
              </w:rPr>
            </w:pPr>
          </w:p>
        </w:tc>
        <w:tc>
          <w:tcPr>
            <w:tcW w:w="292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r>
    </w:tbl>
    <w:p>
      <w:pPr>
        <w:spacing w:after="0" w:line="184" w:lineRule="exact"/>
        <w:rPr>
          <w:sz w:val="20"/>
          <w:szCs w:val="20"/>
          <w:color w:val="auto"/>
        </w:rPr>
      </w:pPr>
    </w:p>
    <w:p>
      <w:pPr>
        <w:ind w:left="640" w:right="60"/>
        <w:spacing w:after="0"/>
        <w:rPr>
          <w:sz w:val="20"/>
          <w:szCs w:val="20"/>
          <w:color w:val="auto"/>
        </w:rPr>
      </w:pPr>
      <w:r>
        <w:rPr>
          <w:rFonts w:ascii="Arial" w:cs="Arial" w:eastAsia="Arial" w:hAnsi="Arial"/>
          <w:sz w:val="18"/>
          <w:szCs w:val="18"/>
          <w:b w:val="1"/>
          <w:bCs w:val="1"/>
          <w:i w:val="1"/>
          <w:iCs w:val="1"/>
          <w:color w:val="202124"/>
        </w:rPr>
        <w:t>Changes to FY26 Peer Group</w:t>
      </w:r>
      <w:r>
        <w:rPr>
          <w:rFonts w:ascii="Arial" w:cs="Arial" w:eastAsia="Arial" w:hAnsi="Arial"/>
          <w:sz w:val="18"/>
          <w:szCs w:val="18"/>
          <w:color w:val="202124"/>
        </w:rPr>
        <w:t>. During FY25, the Compensation Committee reviewed the peer group for FY26</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compensation programs. The intent of that review was to ensure our peer group consists of companies with a similar business model who face similar risks and opportunities as the macroeconomic environment changes, while also selecting companies with comparable financial metrics, market capitalizations and go-to market strategies. Management continues to believe the business models of automotive retailers and petroleum distributors are too dissimilar for inclusion in our peer group. Following such review, and upon input from management and Pearl Meyer, the Compensation Committee approved the following changes for the fiscal year 2026 peer group:</w:t>
      </w:r>
    </w:p>
    <w:p>
      <w:pPr>
        <w:spacing w:after="0" w:line="171" w:lineRule="exact"/>
        <w:rPr>
          <w:sz w:val="20"/>
          <w:szCs w:val="20"/>
          <w:color w:val="auto"/>
        </w:rPr>
      </w:pPr>
    </w:p>
    <w:p>
      <w:pPr>
        <w:ind w:left="1320" w:hanging="325"/>
        <w:spacing w:after="0"/>
        <w:tabs>
          <w:tab w:leader="none" w:pos="1320" w:val="left"/>
        </w:tabs>
        <w:numPr>
          <w:ilvl w:val="0"/>
          <w:numId w:val="80"/>
        </w:numPr>
        <w:rPr>
          <w:rFonts w:ascii="Times New Roman" w:cs="Times New Roman" w:eastAsia="Times New Roman" w:hAnsi="Times New Roman"/>
          <w:sz w:val="18"/>
          <w:szCs w:val="18"/>
          <w:color w:val="F37F00"/>
        </w:rPr>
      </w:pPr>
      <w:r>
        <w:rPr>
          <w:rFonts w:ascii="Arial" w:cs="Arial" w:eastAsia="Arial" w:hAnsi="Arial"/>
          <w:sz w:val="18"/>
          <w:szCs w:val="18"/>
          <w:color w:val="202124"/>
        </w:rPr>
        <w:t>Removed: Bath and Body Works</w:t>
      </w:r>
    </w:p>
    <w:p>
      <w:pPr>
        <w:spacing w:after="0" w:line="116"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80"/>
        </w:numPr>
        <w:rPr>
          <w:rFonts w:ascii="Times New Roman" w:cs="Times New Roman" w:eastAsia="Times New Roman" w:hAnsi="Times New Roman"/>
          <w:sz w:val="18"/>
          <w:szCs w:val="18"/>
          <w:color w:val="F37F00"/>
        </w:rPr>
      </w:pPr>
      <w:r>
        <w:rPr>
          <w:rFonts w:ascii="Arial" w:cs="Arial" w:eastAsia="Arial" w:hAnsi="Arial"/>
          <w:sz w:val="18"/>
          <w:szCs w:val="18"/>
          <w:color w:val="202124"/>
        </w:rPr>
        <w:t>Added: BJ’s Wholesale Club</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Use of Peer Group Data</w:t>
      </w:r>
    </w:p>
    <w:p>
      <w:pPr>
        <w:spacing w:after="0" w:line="171" w:lineRule="exact"/>
        <w:rPr>
          <w:sz w:val="20"/>
          <w:szCs w:val="20"/>
          <w:color w:val="auto"/>
        </w:rPr>
      </w:pPr>
    </w:p>
    <w:p>
      <w:pPr>
        <w:ind w:left="640" w:right="20"/>
        <w:spacing w:after="0" w:line="238" w:lineRule="auto"/>
        <w:rPr>
          <w:sz w:val="20"/>
          <w:szCs w:val="20"/>
          <w:color w:val="auto"/>
        </w:rPr>
      </w:pPr>
      <w:r>
        <w:rPr>
          <w:rFonts w:ascii="Arial" w:cs="Arial" w:eastAsia="Arial" w:hAnsi="Arial"/>
          <w:sz w:val="18"/>
          <w:szCs w:val="18"/>
          <w:color w:val="202124"/>
        </w:rPr>
        <w:t>Peer group data is an important tool in determining executive compensation levels. However, due to a number of factors, executive compensation data is not perfectly comparable across companies. For example, companies, like AutoZone, consider the scope, complexity and strategic contributions of each role in setting executive compensation. These factors vary significantly across companies, even in the same industry. For this reason, AutoZone does not engage in strict benchmarking of compensation levels, i.e., we do not use specific data to support precise targeting of compensation, such as setting an executive’s base pay at the 50th percentile of an identified group of companies. Instead, we utilize peer group data to help determine competitive base salaries and short-term incentive target amounts that support our ability to attract and retain executive talent within our overall compensation philosophy. We do not target a Black-Scholes Merton value for option awards. The Compensation Committee believes a fixed-share grant approach better aligns executives with long-term stockholder outcomes than a fixed-value methodology and historically has maintained annual equity grants at approximately 0.8% of shares outstanding with a fixed run rate every year (approximately 0.9% of outstanding shares or less) which makes the cost of our program more predictable and does not tie us to continuous benchmarking that drives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49</w:t>
            </w:r>
          </w:p>
        </w:tc>
      </w:tr>
    </w:tbl>
    <w:p>
      <w:pPr>
        <w:sectPr>
          <w:pgSz w:w="11900" w:h="16838" w:orient="portrait"/>
          <w:cols w:equalWidth="0" w:num="1">
            <w:col w:w="10360"/>
          </w:cols>
          <w:pgMar w:left="440" w:top="106" w:right="1099" w:bottom="1440" w:gutter="0" w:footer="0" w:header="0"/>
        </w:sectPr>
      </w:pPr>
    </w:p>
    <w:bookmarkStart w:id="52" w:name="page53"/>
    <w:bookmarkEnd w:id="5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60"/>
        <w:spacing w:after="0"/>
        <w:rPr>
          <w:sz w:val="20"/>
          <w:szCs w:val="20"/>
          <w:color w:val="auto"/>
        </w:rPr>
      </w:pPr>
      <w:r>
        <w:rPr>
          <w:rFonts w:ascii="Arial" w:cs="Arial" w:eastAsia="Arial" w:hAnsi="Arial"/>
          <w:sz w:val="18"/>
          <w:szCs w:val="18"/>
          <w:color w:val="202124"/>
        </w:rPr>
        <w:t>Given the significant appreciation in the Company's stock price, the Company reduced the shares granted below 0.8% for the past two years of annual equity grants, a decrease relative to our historical norms. In this long-term context, the Committee approved a one-time increase to 1.02% of shares outstanding for fiscal 2027. The Committee viewed this as a measured adjustment that partially restores historical grant levels while maintaining prudent share usage and avoiding a meaningful increase in the economic value of awards. The Committee expects this adjustment to be temporary and currently intends to return to its customary grant rate of approximately 0.8% of shares outstanding following fiscal year 2027.</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Survey Data</w:t>
      </w:r>
    </w:p>
    <w:p>
      <w:pPr>
        <w:spacing w:after="0" w:line="171" w:lineRule="exact"/>
        <w:rPr>
          <w:sz w:val="20"/>
          <w:szCs w:val="20"/>
          <w:color w:val="auto"/>
        </w:rPr>
      </w:pPr>
    </w:p>
    <w:p>
      <w:pPr>
        <w:ind w:left="640"/>
        <w:spacing w:after="0" w:line="244" w:lineRule="auto"/>
        <w:rPr>
          <w:sz w:val="20"/>
          <w:szCs w:val="20"/>
          <w:color w:val="auto"/>
        </w:rPr>
      </w:pPr>
      <w:r>
        <w:rPr>
          <w:rFonts w:ascii="Arial" w:cs="Arial" w:eastAsia="Arial" w:hAnsi="Arial"/>
          <w:sz w:val="18"/>
          <w:szCs w:val="18"/>
          <w:color w:val="202124"/>
        </w:rPr>
        <w:t>AutoZone also uses broader compensation survey data submitted by hundreds of companies, which may contain summary statistical information (e.g., mean, median, 25th percentile, etc.) related to base salaries, variable compensation, total annual cash compensation, long-term incentive compensation and total direct compensation. In making decisions related to executive compensation, the Compensation Committee uses the survey data as context in reviewing compensation levels, particularly for salary ranges and approving pay actions.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ESTABLISHING COMPENSATION LEVELS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Chief Executive Officer</w:t>
      </w:r>
    </w:p>
    <w:p>
      <w:pPr>
        <w:spacing w:after="0" w:line="171" w:lineRule="exact"/>
        <w:rPr>
          <w:sz w:val="20"/>
          <w:szCs w:val="20"/>
          <w:color w:val="auto"/>
        </w:rPr>
      </w:pPr>
    </w:p>
    <w:p>
      <w:pPr>
        <w:ind w:left="640"/>
        <w:spacing w:after="0" w:line="242" w:lineRule="auto"/>
        <w:rPr>
          <w:sz w:val="20"/>
          <w:szCs w:val="20"/>
          <w:color w:val="auto"/>
        </w:rPr>
      </w:pPr>
      <w:r>
        <w:rPr>
          <w:rFonts w:ascii="Arial" w:cs="Arial" w:eastAsia="Arial" w:hAnsi="Arial"/>
          <w:sz w:val="18"/>
          <w:szCs w:val="18"/>
          <w:color w:val="202124"/>
        </w:rPr>
        <w:t>The Compensation Committee annually reviews and establishes the compensation level for the President and Chief Executive Officer, in conjunction with a review of his individual performance by the directors. As part of this review, the Committee considers all forms of compensation, including base salary, annual cash incentive, long-term equity incentives and other benefits provided. Mr. Daniele was not a party to the deliberations regarding his own compensation. Instead, the Compensation Committee received input from Pearl Meyer, as its independent compensation consultant, and discussed its recommendations directly with the Senior Vice President, Human Resources.</w:t>
      </w:r>
    </w:p>
    <w:p>
      <w:pPr>
        <w:spacing w:after="0" w:line="138" w:lineRule="exact"/>
        <w:rPr>
          <w:sz w:val="20"/>
          <w:szCs w:val="20"/>
          <w:color w:val="auto"/>
        </w:rPr>
      </w:pPr>
    </w:p>
    <w:p>
      <w:pPr>
        <w:ind w:left="640" w:right="160"/>
        <w:spacing w:after="0" w:line="247" w:lineRule="auto"/>
        <w:rPr>
          <w:sz w:val="20"/>
          <w:szCs w:val="20"/>
          <w:color w:val="auto"/>
        </w:rPr>
      </w:pPr>
      <w:r>
        <w:rPr>
          <w:rFonts w:ascii="Arial" w:cs="Arial" w:eastAsia="Arial" w:hAnsi="Arial"/>
          <w:sz w:val="18"/>
          <w:szCs w:val="18"/>
          <w:color w:val="202124"/>
        </w:rPr>
        <w:t>In determining compensation for Mr. Daniele as President and Chief Executive Officer, the Compensation Committee reviewed peer group data, to ensure alignment with industry median. In particular, the Compensation Committee considered that Mr. Daniele is in his third year as our CEO but also brings to our leadership team many years of relevant experience within AutoZone and the automotive aftermarket industry.</w:t>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257"/>
        </w:trPr>
        <w:tc>
          <w:tcPr>
            <w:tcW w:w="4320" w:type="dxa"/>
            <w:vAlign w:val="bottom"/>
            <w:shd w:val="clear" w:color="auto" w:fill="000000"/>
          </w:tcPr>
          <w:p>
            <w:pPr>
              <w:ind w:left="100"/>
              <w:spacing w:after="0"/>
              <w:rPr>
                <w:sz w:val="20"/>
                <w:szCs w:val="20"/>
                <w:color w:val="auto"/>
              </w:rPr>
            </w:pPr>
            <w:r>
              <w:rPr>
                <w:rFonts w:ascii="Arial" w:cs="Arial" w:eastAsia="Arial" w:hAnsi="Arial"/>
                <w:sz w:val="18"/>
                <w:szCs w:val="18"/>
                <w:b w:val="1"/>
                <w:bCs w:val="1"/>
                <w:color w:val="FFFFFF"/>
              </w:rPr>
              <w:t>Name</w:t>
            </w:r>
          </w:p>
        </w:tc>
        <w:tc>
          <w:tcPr>
            <w:tcW w:w="2200" w:type="dxa"/>
            <w:vAlign w:val="bottom"/>
            <w:shd w:val="clear" w:color="auto" w:fill="000000"/>
          </w:tcPr>
          <w:p>
            <w:pPr>
              <w:spacing w:after="0"/>
              <w:rPr>
                <w:sz w:val="22"/>
                <w:szCs w:val="22"/>
                <w:color w:val="auto"/>
              </w:rPr>
            </w:pPr>
          </w:p>
        </w:tc>
        <w:tc>
          <w:tcPr>
            <w:tcW w:w="1420" w:type="dxa"/>
            <w:vAlign w:val="bottom"/>
            <w:shd w:val="clear" w:color="auto" w:fill="000000"/>
          </w:tcPr>
          <w:p>
            <w:pPr>
              <w:jc w:val="right"/>
              <w:ind w:right="230"/>
              <w:spacing w:after="0"/>
              <w:rPr>
                <w:sz w:val="20"/>
                <w:szCs w:val="20"/>
                <w:color w:val="auto"/>
              </w:rPr>
            </w:pPr>
            <w:r>
              <w:rPr>
                <w:rFonts w:ascii="Arial" w:cs="Arial" w:eastAsia="Arial" w:hAnsi="Arial"/>
                <w:sz w:val="18"/>
                <w:szCs w:val="18"/>
                <w:color w:val="FFFFFF"/>
              </w:rPr>
              <w:t>Daniele (1)</w:t>
            </w:r>
          </w:p>
        </w:tc>
      </w:tr>
      <w:tr>
        <w:trPr>
          <w:trHeight w:val="243"/>
        </w:trPr>
        <w:tc>
          <w:tcPr>
            <w:tcW w:w="4320" w:type="dxa"/>
            <w:vAlign w:val="bottom"/>
            <w:tcBorders>
              <w:bottom w:val="single" w:sz="8" w:color="808080"/>
            </w:tcBorders>
          </w:tcPr>
          <w:p>
            <w:pPr>
              <w:ind w:left="100"/>
              <w:spacing w:after="0"/>
              <w:rPr>
                <w:sz w:val="20"/>
                <w:szCs w:val="20"/>
                <w:color w:val="auto"/>
              </w:rPr>
            </w:pPr>
            <w:r>
              <w:rPr>
                <w:rFonts w:ascii="Arial" w:cs="Arial" w:eastAsia="Arial" w:hAnsi="Arial"/>
                <w:sz w:val="18"/>
                <w:szCs w:val="18"/>
                <w:b w:val="1"/>
                <w:bCs w:val="1"/>
                <w:color w:val="F37F00"/>
              </w:rPr>
              <w:t>Total Cash Compensation</w:t>
            </w:r>
          </w:p>
        </w:tc>
        <w:tc>
          <w:tcPr>
            <w:tcW w:w="2200" w:type="dxa"/>
            <w:vAlign w:val="bottom"/>
            <w:tcBorders>
              <w:bottom w:val="single" w:sz="8" w:color="808080"/>
            </w:tcBorders>
          </w:tcPr>
          <w:p>
            <w:pPr>
              <w:jc w:val="right"/>
              <w:ind w:right="130"/>
              <w:spacing w:after="0"/>
              <w:rPr>
                <w:sz w:val="20"/>
                <w:szCs w:val="20"/>
                <w:color w:val="auto"/>
              </w:rPr>
            </w:pPr>
            <w:r>
              <w:rPr>
                <w:rFonts w:ascii="Arial" w:cs="Arial" w:eastAsia="Arial" w:hAnsi="Arial"/>
                <w:sz w:val="18"/>
                <w:szCs w:val="18"/>
                <w:color w:val="202124"/>
              </w:rPr>
              <w:t>$</w:t>
            </w:r>
          </w:p>
        </w:tc>
        <w:tc>
          <w:tcPr>
            <w:tcW w:w="1420" w:type="dxa"/>
            <w:vAlign w:val="bottom"/>
            <w:tcBorders>
              <w:bottom w:val="single" w:sz="8" w:color="808080"/>
            </w:tcBorders>
          </w:tcPr>
          <w:p>
            <w:pPr>
              <w:jc w:val="right"/>
              <w:ind w:right="230"/>
              <w:spacing w:after="0"/>
              <w:rPr>
                <w:sz w:val="20"/>
                <w:szCs w:val="20"/>
                <w:color w:val="auto"/>
              </w:rPr>
            </w:pPr>
            <w:r>
              <w:rPr>
                <w:rFonts w:ascii="Arial" w:cs="Arial" w:eastAsia="Arial" w:hAnsi="Arial"/>
                <w:sz w:val="18"/>
                <w:szCs w:val="18"/>
                <w:color w:val="202124"/>
              </w:rPr>
              <w:t>2,760,000</w:t>
            </w:r>
          </w:p>
        </w:tc>
      </w:tr>
      <w:tr>
        <w:trPr>
          <w:trHeight w:val="234"/>
        </w:trPr>
        <w:tc>
          <w:tcPr>
            <w:tcW w:w="4320" w:type="dxa"/>
            <w:vAlign w:val="bottom"/>
            <w:tcBorders>
              <w:bottom w:val="single" w:sz="8" w:color="808080"/>
            </w:tcBorders>
          </w:tcPr>
          <w:p>
            <w:pPr>
              <w:ind w:left="640"/>
              <w:spacing w:after="0"/>
              <w:rPr>
                <w:sz w:val="20"/>
                <w:szCs w:val="20"/>
                <w:color w:val="auto"/>
              </w:rPr>
            </w:pPr>
            <w:r>
              <w:rPr>
                <w:rFonts w:ascii="Arial" w:cs="Arial" w:eastAsia="Arial" w:hAnsi="Arial"/>
                <w:sz w:val="18"/>
                <w:szCs w:val="18"/>
                <w:i w:val="1"/>
                <w:iCs w:val="1"/>
                <w:color w:val="F37F00"/>
              </w:rPr>
              <w:t>Peer Group Percentile</w:t>
            </w:r>
          </w:p>
        </w:tc>
        <w:tc>
          <w:tcPr>
            <w:tcW w:w="220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jc w:val="right"/>
              <w:ind w:right="230"/>
              <w:spacing w:after="0"/>
              <w:rPr>
                <w:sz w:val="20"/>
                <w:szCs w:val="20"/>
                <w:color w:val="auto"/>
              </w:rPr>
            </w:pPr>
            <w:r>
              <w:rPr>
                <w:rFonts w:ascii="Arial" w:cs="Arial" w:eastAsia="Arial" w:hAnsi="Arial"/>
                <w:sz w:val="18"/>
                <w:szCs w:val="18"/>
                <w:color w:val="202124"/>
              </w:rPr>
              <w:t>28%</w:t>
            </w:r>
          </w:p>
        </w:tc>
      </w:tr>
      <w:tr>
        <w:trPr>
          <w:trHeight w:val="239"/>
        </w:trPr>
        <w:tc>
          <w:tcPr>
            <w:tcW w:w="4320" w:type="dxa"/>
            <w:vAlign w:val="bottom"/>
            <w:tcBorders>
              <w:bottom w:val="single" w:sz="8" w:color="808080"/>
            </w:tcBorders>
          </w:tcPr>
          <w:p>
            <w:pPr>
              <w:ind w:left="100"/>
              <w:spacing w:after="0"/>
              <w:rPr>
                <w:sz w:val="20"/>
                <w:szCs w:val="20"/>
                <w:color w:val="auto"/>
              </w:rPr>
            </w:pPr>
            <w:r>
              <w:rPr>
                <w:rFonts w:ascii="Arial" w:cs="Arial" w:eastAsia="Arial" w:hAnsi="Arial"/>
                <w:sz w:val="18"/>
                <w:szCs w:val="18"/>
                <w:b w:val="1"/>
                <w:bCs w:val="1"/>
                <w:color w:val="F37F00"/>
              </w:rPr>
              <w:t>Total Compensation</w:t>
            </w:r>
          </w:p>
        </w:tc>
        <w:tc>
          <w:tcPr>
            <w:tcW w:w="2200" w:type="dxa"/>
            <w:vAlign w:val="bottom"/>
            <w:tcBorders>
              <w:bottom w:val="single" w:sz="8" w:color="808080"/>
            </w:tcBorders>
          </w:tcPr>
          <w:p>
            <w:pPr>
              <w:jc w:val="right"/>
              <w:ind w:right="130"/>
              <w:spacing w:after="0"/>
              <w:rPr>
                <w:sz w:val="20"/>
                <w:szCs w:val="20"/>
                <w:color w:val="auto"/>
              </w:rPr>
            </w:pPr>
            <w:r>
              <w:rPr>
                <w:rFonts w:ascii="Arial" w:cs="Arial" w:eastAsia="Arial" w:hAnsi="Arial"/>
                <w:sz w:val="18"/>
                <w:szCs w:val="18"/>
                <w:color w:val="202124"/>
              </w:rPr>
              <w:t>$</w:t>
            </w:r>
          </w:p>
        </w:tc>
        <w:tc>
          <w:tcPr>
            <w:tcW w:w="1420" w:type="dxa"/>
            <w:vAlign w:val="bottom"/>
            <w:tcBorders>
              <w:bottom w:val="single" w:sz="8" w:color="808080"/>
            </w:tcBorders>
          </w:tcPr>
          <w:p>
            <w:pPr>
              <w:jc w:val="right"/>
              <w:ind w:right="230"/>
              <w:spacing w:after="0"/>
              <w:rPr>
                <w:sz w:val="20"/>
                <w:szCs w:val="20"/>
                <w:color w:val="auto"/>
              </w:rPr>
            </w:pPr>
            <w:r>
              <w:rPr>
                <w:rFonts w:ascii="Arial" w:cs="Arial" w:eastAsia="Arial" w:hAnsi="Arial"/>
                <w:sz w:val="18"/>
                <w:szCs w:val="18"/>
                <w:color w:val="202124"/>
              </w:rPr>
              <w:t>11,158,796</w:t>
            </w:r>
          </w:p>
        </w:tc>
      </w:tr>
      <w:tr>
        <w:trPr>
          <w:trHeight w:val="257"/>
        </w:trPr>
        <w:tc>
          <w:tcPr>
            <w:tcW w:w="4320" w:type="dxa"/>
            <w:vAlign w:val="bottom"/>
            <w:tcBorders>
              <w:bottom w:val="single" w:sz="8" w:color="202124"/>
            </w:tcBorders>
          </w:tcPr>
          <w:p>
            <w:pPr>
              <w:ind w:left="640"/>
              <w:spacing w:after="0"/>
              <w:rPr>
                <w:sz w:val="20"/>
                <w:szCs w:val="20"/>
                <w:color w:val="auto"/>
              </w:rPr>
            </w:pPr>
            <w:r>
              <w:rPr>
                <w:rFonts w:ascii="Arial" w:cs="Arial" w:eastAsia="Arial" w:hAnsi="Arial"/>
                <w:sz w:val="18"/>
                <w:szCs w:val="18"/>
                <w:i w:val="1"/>
                <w:iCs w:val="1"/>
                <w:color w:val="F37F00"/>
              </w:rPr>
              <w:t>Peer Group Percentile</w:t>
            </w:r>
          </w:p>
        </w:tc>
        <w:tc>
          <w:tcPr>
            <w:tcW w:w="2200" w:type="dxa"/>
            <w:vAlign w:val="bottom"/>
            <w:tcBorders>
              <w:bottom w:val="single" w:sz="8" w:color="202124"/>
            </w:tcBorders>
          </w:tcPr>
          <w:p>
            <w:pPr>
              <w:spacing w:after="0"/>
              <w:rPr>
                <w:sz w:val="22"/>
                <w:szCs w:val="22"/>
                <w:color w:val="auto"/>
              </w:rPr>
            </w:pPr>
          </w:p>
        </w:tc>
        <w:tc>
          <w:tcPr>
            <w:tcW w:w="1420" w:type="dxa"/>
            <w:vAlign w:val="bottom"/>
            <w:tcBorders>
              <w:bottom w:val="single" w:sz="8" w:color="202124"/>
            </w:tcBorders>
          </w:tcPr>
          <w:p>
            <w:pPr>
              <w:jc w:val="right"/>
              <w:ind w:right="230"/>
              <w:spacing w:after="0"/>
              <w:rPr>
                <w:sz w:val="20"/>
                <w:szCs w:val="20"/>
                <w:color w:val="auto"/>
              </w:rPr>
            </w:pPr>
            <w:r>
              <w:rPr>
                <w:rFonts w:ascii="Arial" w:cs="Arial" w:eastAsia="Arial" w:hAnsi="Arial"/>
                <w:sz w:val="18"/>
                <w:szCs w:val="18"/>
                <w:color w:val="202124"/>
              </w:rPr>
              <w:t>30%</w:t>
            </w:r>
          </w:p>
        </w:tc>
      </w:tr>
    </w:tbl>
    <w:p>
      <w:pPr>
        <w:spacing w:after="0" w:line="247" w:lineRule="exact"/>
        <w:rPr>
          <w:sz w:val="20"/>
          <w:szCs w:val="20"/>
          <w:color w:val="auto"/>
        </w:rPr>
      </w:pPr>
    </w:p>
    <w:p>
      <w:pPr>
        <w:ind w:left="640" w:firstLine="4"/>
        <w:spacing w:after="0" w:line="285" w:lineRule="auto"/>
        <w:tabs>
          <w:tab w:leader="none" w:pos="859" w:val="left"/>
        </w:tabs>
        <w:numPr>
          <w:ilvl w:val="0"/>
          <w:numId w:val="81"/>
        </w:numPr>
        <w:rPr>
          <w:rFonts w:ascii="Arial" w:cs="Arial" w:eastAsia="Arial" w:hAnsi="Arial"/>
          <w:sz w:val="14"/>
          <w:szCs w:val="14"/>
          <w:color w:val="202124"/>
        </w:rPr>
      </w:pPr>
      <w:r>
        <w:rPr>
          <w:rFonts w:ascii="Arial" w:cs="Arial" w:eastAsia="Arial" w:hAnsi="Arial"/>
          <w:sz w:val="14"/>
          <w:szCs w:val="14"/>
          <w:color w:val="202124"/>
        </w:rPr>
        <w:t>Reflects annualized target compensation for Mr. Daniele as President and CEO during FY26. Note we do not specify a long-term incentive target but used fixed-share modeling based on a percentage of shares outstanding.</w:t>
      </w:r>
    </w:p>
    <w:p>
      <w:pPr>
        <w:spacing w:after="0" w:line="108" w:lineRule="exact"/>
        <w:rPr>
          <w:sz w:val="20"/>
          <w:szCs w:val="20"/>
          <w:color w:val="auto"/>
        </w:rPr>
      </w:pPr>
    </w:p>
    <w:p>
      <w:pPr>
        <w:ind w:left="640" w:right="20"/>
        <w:spacing w:after="0" w:line="244" w:lineRule="auto"/>
        <w:rPr>
          <w:sz w:val="20"/>
          <w:szCs w:val="20"/>
          <w:color w:val="auto"/>
        </w:rPr>
      </w:pPr>
      <w:r>
        <w:rPr>
          <w:rFonts w:ascii="Arial" w:cs="Arial" w:eastAsia="Arial" w:hAnsi="Arial"/>
          <w:sz w:val="18"/>
          <w:szCs w:val="18"/>
          <w:color w:val="202124"/>
        </w:rPr>
        <w:t xml:space="preserve">Following such review, the Compensation Committee determined to set Mr. Daniele’s </w:t>
      </w:r>
      <w:r>
        <w:rPr>
          <w:rFonts w:ascii="Arial" w:cs="Arial" w:eastAsia="Arial" w:hAnsi="Arial"/>
          <w:sz w:val="18"/>
          <w:szCs w:val="18"/>
          <w:u w:val="single" w:color="auto"/>
          <w:color w:val="202124"/>
        </w:rPr>
        <w:t>total compensation</w:t>
      </w:r>
      <w:r>
        <w:rPr>
          <w:rFonts w:ascii="Arial" w:cs="Arial" w:eastAsia="Arial" w:hAnsi="Arial"/>
          <w:sz w:val="18"/>
          <w:szCs w:val="18"/>
          <w:color w:val="202124"/>
        </w:rPr>
        <w:t xml:space="preserve"> at a competitive level relative to market median. While the Committee generally targets compensation opportunities around market median after three years in role, actual positioning may vary from year to year due to changes in peer group composition, market movement, individual performance, internal equity considerations and the company’s pay mix. Market data serves as a reference point among several factors considered in determining executive compensation.</w:t>
      </w:r>
    </w:p>
    <w:p>
      <w:pPr>
        <w:spacing w:after="0" w:line="136" w:lineRule="exact"/>
        <w:rPr>
          <w:sz w:val="20"/>
          <w:szCs w:val="20"/>
          <w:color w:val="auto"/>
        </w:rPr>
      </w:pPr>
    </w:p>
    <w:p>
      <w:pPr>
        <w:ind w:left="640" w:right="200"/>
        <w:spacing w:after="0" w:line="253" w:lineRule="auto"/>
        <w:rPr>
          <w:sz w:val="20"/>
          <w:szCs w:val="20"/>
          <w:color w:val="auto"/>
        </w:rPr>
      </w:pPr>
      <w:r>
        <w:rPr>
          <w:rFonts w:ascii="Arial" w:cs="Arial" w:eastAsia="Arial" w:hAnsi="Arial"/>
          <w:sz w:val="18"/>
          <w:szCs w:val="18"/>
          <w:color w:val="202124"/>
        </w:rPr>
        <w:t>The Compensation Committee will continue to evaluate Mr. Daniele’s performance on an ongoing basis, with the understanding that future adjustments to his compensation will be considered as he further demonstrates his leadership and impact on the company’s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50   </w:t>
      </w:r>
      <w:r>
        <w:rPr>
          <w:sz w:val="1"/>
          <w:szCs w:val="1"/>
          <w:color w:val="auto"/>
        </w:rPr>
        <w:drawing>
          <wp:inline distT="0" distB="0" distL="0" distR="0">
            <wp:extent cx="1165860"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53" w:name="page54"/>
    <w:bookmarkEnd w:id="5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120"/>
        <w:spacing w:after="0" w:line="271" w:lineRule="auto"/>
        <w:rPr>
          <w:sz w:val="20"/>
          <w:szCs w:val="20"/>
          <w:color w:val="auto"/>
        </w:rPr>
      </w:pPr>
      <w:r>
        <w:rPr>
          <w:rFonts w:ascii="Arial" w:cs="Arial" w:eastAsia="Arial" w:hAnsi="Arial"/>
          <w:sz w:val="18"/>
          <w:szCs w:val="18"/>
          <w:color w:val="202124"/>
        </w:rPr>
        <w:t>In recognition of Mr. Daniele’s strong performance, we implemented the following adjustments to his FY26 compensation package:</w:t>
      </w:r>
    </w:p>
    <w:p>
      <w:pPr>
        <w:spacing w:after="0" w:line="113" w:lineRule="exact"/>
        <w:rPr>
          <w:sz w:val="20"/>
          <w:szCs w:val="20"/>
          <w:color w:val="auto"/>
        </w:rPr>
      </w:pPr>
    </w:p>
    <w:p>
      <w:pPr>
        <w:ind w:left="1320" w:hanging="325"/>
        <w:spacing w:after="0"/>
        <w:tabs>
          <w:tab w:leader="none" w:pos="1320" w:val="left"/>
        </w:tabs>
        <w:numPr>
          <w:ilvl w:val="0"/>
          <w:numId w:val="82"/>
        </w:numPr>
        <w:rPr>
          <w:rFonts w:ascii="Times New Roman" w:cs="Times New Roman" w:eastAsia="Times New Roman" w:hAnsi="Times New Roman"/>
          <w:sz w:val="18"/>
          <w:szCs w:val="18"/>
          <w:color w:val="F37F00"/>
        </w:rPr>
      </w:pPr>
      <w:r>
        <w:rPr>
          <w:rFonts w:ascii="Arial" w:cs="Arial" w:eastAsia="Arial" w:hAnsi="Arial"/>
          <w:sz w:val="18"/>
          <w:szCs w:val="18"/>
          <w:color w:val="202124"/>
        </w:rPr>
        <w:t>Base Salary: Increase by 20% to $1.2 million</w:t>
      </w:r>
    </w:p>
    <w:p>
      <w:pPr>
        <w:spacing w:after="0" w:line="183"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82"/>
        </w:numPr>
        <w:rPr>
          <w:rFonts w:ascii="Times New Roman" w:cs="Times New Roman" w:eastAsia="Times New Roman" w:hAnsi="Times New Roman"/>
          <w:sz w:val="18"/>
          <w:szCs w:val="18"/>
          <w:color w:val="F37F00"/>
        </w:rPr>
      </w:pPr>
      <w:r>
        <w:rPr>
          <w:rFonts w:ascii="Arial" w:cs="Arial" w:eastAsia="Arial" w:hAnsi="Arial"/>
          <w:sz w:val="18"/>
          <w:szCs w:val="18"/>
          <w:color w:val="202124"/>
        </w:rPr>
        <w:t>Bonus Target: Remained at 130% of base salary</w:t>
      </w:r>
    </w:p>
    <w:p>
      <w:pPr>
        <w:spacing w:after="0" w:line="197" w:lineRule="exact"/>
        <w:rPr>
          <w:rFonts w:ascii="Times New Roman" w:cs="Times New Roman" w:eastAsia="Times New Roman" w:hAnsi="Times New Roman"/>
          <w:sz w:val="18"/>
          <w:szCs w:val="18"/>
          <w:color w:val="F37F00"/>
        </w:rPr>
      </w:pPr>
    </w:p>
    <w:p>
      <w:pPr>
        <w:ind w:left="1320" w:hanging="325"/>
        <w:spacing w:after="0"/>
        <w:tabs>
          <w:tab w:leader="none" w:pos="1320" w:val="left"/>
        </w:tabs>
        <w:numPr>
          <w:ilvl w:val="0"/>
          <w:numId w:val="82"/>
        </w:numPr>
        <w:rPr>
          <w:rFonts w:ascii="Times New Roman" w:cs="Times New Roman" w:eastAsia="Times New Roman" w:hAnsi="Times New Roman"/>
          <w:sz w:val="18"/>
          <w:szCs w:val="18"/>
          <w:color w:val="F37F00"/>
        </w:rPr>
      </w:pPr>
      <w:r>
        <w:rPr>
          <w:rFonts w:ascii="Arial" w:cs="Arial" w:eastAsia="Arial" w:hAnsi="Arial"/>
          <w:sz w:val="18"/>
          <w:szCs w:val="18"/>
          <w:color w:val="202124"/>
        </w:rPr>
        <w:t>Stock Option Grant: Increased by ~15%</w:t>
      </w:r>
    </w:p>
    <w:p>
      <w:pPr>
        <w:spacing w:after="0" w:line="184" w:lineRule="exact"/>
        <w:rPr>
          <w:sz w:val="20"/>
          <w:szCs w:val="20"/>
          <w:color w:val="auto"/>
        </w:rPr>
      </w:pPr>
    </w:p>
    <w:p>
      <w:pPr>
        <w:ind w:left="640" w:right="560"/>
        <w:spacing w:after="0" w:line="253" w:lineRule="auto"/>
        <w:rPr>
          <w:sz w:val="20"/>
          <w:szCs w:val="20"/>
          <w:color w:val="auto"/>
        </w:rPr>
      </w:pPr>
      <w:r>
        <w:rPr>
          <w:rFonts w:ascii="Arial" w:cs="Arial" w:eastAsia="Arial" w:hAnsi="Arial"/>
          <w:sz w:val="18"/>
          <w:szCs w:val="18"/>
          <w:color w:val="202124"/>
        </w:rPr>
        <w:t>These changes reflect Mr. Daniele’s contributions in addressing evolving market dynamics, advancing key strategic initivatives and maintaining continuity in leadership as the Company executes its long-term strategic priorities and accelerated growth plans.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Other Executive Officers</w:t>
      </w:r>
    </w:p>
    <w:p>
      <w:pPr>
        <w:spacing w:after="0" w:line="185" w:lineRule="exact"/>
        <w:rPr>
          <w:sz w:val="20"/>
          <w:szCs w:val="20"/>
          <w:color w:val="auto"/>
        </w:rPr>
      </w:pPr>
    </w:p>
    <w:p>
      <w:pPr>
        <w:ind w:left="640" w:right="160"/>
        <w:spacing w:after="0" w:line="253" w:lineRule="auto"/>
        <w:rPr>
          <w:sz w:val="20"/>
          <w:szCs w:val="20"/>
          <w:color w:val="auto"/>
        </w:rPr>
      </w:pPr>
      <w:r>
        <w:rPr>
          <w:rFonts w:ascii="Arial" w:cs="Arial" w:eastAsia="Arial" w:hAnsi="Arial"/>
          <w:sz w:val="18"/>
          <w:szCs w:val="18"/>
          <w:color w:val="202124"/>
        </w:rPr>
        <w:t>The Compensation Committee annually reviews and approves base salaries for AutoZone’s remaining executive officers based on recommendations of the President and Chief Executive Officer and considerations of the various factors described above.</w:t>
      </w:r>
    </w:p>
    <w:p>
      <w:pPr>
        <w:spacing w:after="0" w:line="128" w:lineRule="exact"/>
        <w:rPr>
          <w:sz w:val="20"/>
          <w:szCs w:val="20"/>
          <w:color w:val="auto"/>
        </w:rPr>
      </w:pPr>
    </w:p>
    <w:p>
      <w:pPr>
        <w:ind w:left="640" w:right="80"/>
        <w:spacing w:after="0"/>
        <w:rPr>
          <w:sz w:val="20"/>
          <w:szCs w:val="20"/>
          <w:color w:val="auto"/>
        </w:rPr>
      </w:pPr>
      <w:r>
        <w:rPr>
          <w:rFonts w:ascii="Arial" w:cs="Arial" w:eastAsia="Arial" w:hAnsi="Arial"/>
          <w:sz w:val="18"/>
          <w:szCs w:val="18"/>
          <w:color w:val="202124"/>
        </w:rPr>
        <w:t>The Compensation Committee looked at various factors to determine pay for the most senior executives consisting of the Chief Financial Officer, Chief Operating Officer, Executive Vice President, Merchandising, Marketing and Supply Chain and Senior Vice President, Commercial. In evaluating executive compensation, the Committee considered individual performance, depth of relevant market and company experience, the expanded scope and strategic impact of leadership responsibilities, and the competitive positioning necessary to attract and secure experienced executive talent. The Compensation Committee evaluated pay compared to market, considering the defined peer group as well as the S&amp;P500 of related roles.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TRANSITION TO CHAIRMAN</w:t>
      </w:r>
    </w:p>
    <w:p>
      <w:pPr>
        <w:spacing w:after="0" w:line="104" w:lineRule="exact"/>
        <w:rPr>
          <w:sz w:val="20"/>
          <w:szCs w:val="20"/>
          <w:color w:val="auto"/>
        </w:rPr>
      </w:pPr>
    </w:p>
    <w:p>
      <w:pPr>
        <w:ind w:left="640" w:right="160"/>
        <w:spacing w:after="0" w:line="266" w:lineRule="auto"/>
        <w:rPr>
          <w:sz w:val="20"/>
          <w:szCs w:val="20"/>
          <w:color w:val="auto"/>
        </w:rPr>
      </w:pPr>
      <w:r>
        <w:rPr>
          <w:rFonts w:ascii="Arial" w:cs="Arial" w:eastAsia="Arial" w:hAnsi="Arial"/>
          <w:sz w:val="17"/>
          <w:szCs w:val="17"/>
          <w:color w:val="202124"/>
        </w:rPr>
        <w:t>The continuity of leadership has been a cornerstone of AutoZone’s success. After serving in the role of Executive Chairman immediately following the Company’s leadership transition to Mr. Daniele in 2024, Mr. Rhodes transitioned to Chairman of the Board effective January 1, 2026. Mr. Rhodes was paid as a director with an annual retainer of $270,000 plus a Chairman fee of $250,000. As a non-employee director, Mr. Rhodes elected to receive all compensation in RSUs.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CHIEF FINANCIAL OFFICER TRANSITION</w:t>
      </w:r>
    </w:p>
    <w:p>
      <w:pPr>
        <w:spacing w:after="0" w:line="104" w:lineRule="exact"/>
        <w:rPr>
          <w:sz w:val="20"/>
          <w:szCs w:val="20"/>
          <w:color w:val="auto"/>
        </w:rPr>
      </w:pPr>
    </w:p>
    <w:p>
      <w:pPr>
        <w:ind w:left="640" w:right="20"/>
        <w:spacing w:after="0" w:line="242" w:lineRule="auto"/>
        <w:rPr>
          <w:sz w:val="20"/>
          <w:szCs w:val="20"/>
          <w:color w:val="auto"/>
        </w:rPr>
      </w:pPr>
      <w:r>
        <w:rPr>
          <w:rFonts w:ascii="Arial" w:cs="Arial" w:eastAsia="Arial" w:hAnsi="Arial"/>
          <w:sz w:val="18"/>
          <w:szCs w:val="18"/>
          <w:color w:val="202124"/>
        </w:rPr>
        <w:t>In October, the Company announced that Mr. Jackson resigned as Chief Financial Officer effective November 25, 2026. In connection with his voluntary resignation, Mr. Jackson did not receive any severance payments, separation benefits, or acceleration of unvested equity awards. Compensation reported in the following tables reflects only the amounts earned or awarded during his period of active service in FY26. The Company has commenced an external search for his successor. The Company has an experienced and deeply tenured finance and accounting team to provide seamless continuity and financial leadership in the interim.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51</w:t>
            </w:r>
          </w:p>
        </w:tc>
      </w:tr>
    </w:tbl>
    <w:p>
      <w:pPr>
        <w:sectPr>
          <w:pgSz w:w="11900" w:h="16838" w:orient="portrait"/>
          <w:cols w:equalWidth="0" w:num="1">
            <w:col w:w="10360"/>
          </w:cols>
          <w:pgMar w:left="440" w:top="106" w:right="1099" w:bottom="1440" w:gutter="0" w:footer="0" w:header="0"/>
        </w:sectPr>
      </w:pPr>
    </w:p>
    <w:bookmarkStart w:id="54" w:name="page55"/>
    <w:bookmarkEnd w:id="5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Compensation Program Details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BASE SALARY</w:t>
      </w:r>
    </w:p>
    <w:p>
      <w:pPr>
        <w:spacing w:after="0" w:line="104" w:lineRule="exact"/>
        <w:rPr>
          <w:sz w:val="20"/>
          <w:szCs w:val="20"/>
          <w:color w:val="auto"/>
        </w:rPr>
      </w:pPr>
    </w:p>
    <w:p>
      <w:pPr>
        <w:ind w:left="640" w:right="300"/>
        <w:spacing w:after="0" w:line="247" w:lineRule="auto"/>
        <w:rPr>
          <w:sz w:val="20"/>
          <w:szCs w:val="20"/>
          <w:color w:val="auto"/>
        </w:rPr>
      </w:pPr>
      <w:r>
        <w:rPr>
          <w:rFonts w:ascii="Arial" w:cs="Arial" w:eastAsia="Arial" w:hAnsi="Arial"/>
          <w:sz w:val="18"/>
          <w:szCs w:val="18"/>
          <w:color w:val="202124"/>
        </w:rPr>
        <w:t>We provide base salaries to our executive officers as a means to deliver a stable amount of cash compensation throughout the fiscal year. Base salaries are established by the Compensation Committee at a level that takes into consideration the individual’s position, including scope and complexity of the role, as well as broad-based market data, internal pay equity and total target cash compensation.</w:t>
      </w:r>
    </w:p>
    <w:p>
      <w:pPr>
        <w:spacing w:after="0" w:line="147" w:lineRule="exact"/>
        <w:rPr>
          <w:sz w:val="20"/>
          <w:szCs w:val="20"/>
          <w:color w:val="auto"/>
        </w:rPr>
      </w:pPr>
    </w:p>
    <w:p>
      <w:pPr>
        <w:ind w:left="640" w:right="260"/>
        <w:spacing w:after="0" w:line="242" w:lineRule="auto"/>
        <w:rPr>
          <w:sz w:val="20"/>
          <w:szCs w:val="20"/>
          <w:color w:val="auto"/>
        </w:rPr>
      </w:pPr>
      <w:r>
        <w:rPr>
          <w:rFonts w:ascii="Arial" w:cs="Arial" w:eastAsia="Arial" w:hAnsi="Arial"/>
          <w:sz w:val="18"/>
          <w:szCs w:val="18"/>
          <w:color w:val="202124"/>
        </w:rPr>
        <w:t>In general, base salaries for our executive officers are competitive but often below market median. For new executive officers who are promoted from within the organization, the Company aims to set base salaries in the bottom quartile of the market with the expectation of moving base salaries to the 30th percentile after the third year in such position. For executive officers who are externally hired, the Company may be more competitive in setting base salaries closer to median in order to successfully recruit and retain highly qualified leaders who complement the strategic needs of the organization and who don’t have several years of equity grants.</w:t>
      </w:r>
    </w:p>
    <w:p>
      <w:pPr>
        <w:spacing w:after="0" w:line="138" w:lineRule="exact"/>
        <w:rPr>
          <w:sz w:val="20"/>
          <w:szCs w:val="20"/>
          <w:color w:val="auto"/>
        </w:rPr>
      </w:pPr>
    </w:p>
    <w:p>
      <w:pPr>
        <w:ind w:left="640" w:right="80"/>
        <w:spacing w:after="0" w:line="242" w:lineRule="auto"/>
        <w:rPr>
          <w:sz w:val="20"/>
          <w:szCs w:val="20"/>
          <w:color w:val="auto"/>
        </w:rPr>
      </w:pPr>
      <w:r>
        <w:rPr>
          <w:rFonts w:ascii="Arial" w:cs="Arial" w:eastAsia="Arial" w:hAnsi="Arial"/>
          <w:sz w:val="18"/>
          <w:szCs w:val="18"/>
          <w:color w:val="202124"/>
        </w:rPr>
        <w:t>Over time, as the median pay levels in the competitive market change, as evidenced by the salary survey data, AutoZone will make appropriate adjustments to its salary range midpoints so that on average, these midpoints are positioned at market median for base salaries. We believe this positioning relative to the market allows for competitive base salary levels while also delivering competitive total rewards at or above the market median through our performance-based variable compensation. For additional information on the sources of market data and how AutoZone uses such data, see “Benchmarking” within this CD&amp;A.</w:t>
      </w:r>
    </w:p>
    <w:p>
      <w:pPr>
        <w:spacing w:after="0" w:line="138" w:lineRule="exact"/>
        <w:rPr>
          <w:sz w:val="20"/>
          <w:szCs w:val="20"/>
          <w:color w:val="auto"/>
        </w:rPr>
      </w:pPr>
    </w:p>
    <w:p>
      <w:pPr>
        <w:ind w:left="640" w:right="380"/>
        <w:spacing w:after="0" w:line="271" w:lineRule="auto"/>
        <w:rPr>
          <w:sz w:val="20"/>
          <w:szCs w:val="20"/>
          <w:color w:val="auto"/>
        </w:rPr>
      </w:pPr>
      <w:r>
        <w:rPr>
          <w:rFonts w:ascii="Arial" w:cs="Arial" w:eastAsia="Arial" w:hAnsi="Arial"/>
          <w:sz w:val="18"/>
          <w:szCs w:val="18"/>
          <w:color w:val="202124"/>
        </w:rPr>
        <w:t>The below table lists each of our NEO’s base salary for FY25 and FY26, the percent of increase from the prior year (if any) and the rationale for the change.</w:t>
      </w:r>
    </w:p>
    <w:p>
      <w:pPr>
        <w:spacing w:after="0" w:line="2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900" w:type="dxa"/>
            <w:vAlign w:val="bottom"/>
            <w:shd w:val="clear" w:color="auto" w:fill="212322"/>
          </w:tcPr>
          <w:p>
            <w:pPr>
              <w:ind w:left="120"/>
              <w:spacing w:after="0"/>
              <w:rPr>
                <w:sz w:val="20"/>
                <w:szCs w:val="20"/>
                <w:color w:val="auto"/>
              </w:rPr>
            </w:pPr>
            <w:r>
              <w:rPr>
                <w:rFonts w:ascii="Arial" w:cs="Arial" w:eastAsia="Arial" w:hAnsi="Arial"/>
                <w:sz w:val="18"/>
                <w:szCs w:val="18"/>
                <w:b w:val="1"/>
                <w:bCs w:val="1"/>
                <w:color w:val="FFFFFF"/>
              </w:rPr>
              <w:t>Name</w:t>
            </w:r>
          </w:p>
        </w:tc>
        <w:tc>
          <w:tcPr>
            <w:tcW w:w="1140" w:type="dxa"/>
            <w:vAlign w:val="bottom"/>
            <w:shd w:val="clear" w:color="auto" w:fill="212322"/>
          </w:tcPr>
          <w:p>
            <w:pPr>
              <w:jc w:val="right"/>
              <w:ind w:right="190"/>
              <w:spacing w:after="0"/>
              <w:rPr>
                <w:sz w:val="20"/>
                <w:szCs w:val="20"/>
                <w:color w:val="auto"/>
              </w:rPr>
            </w:pPr>
            <w:r>
              <w:rPr>
                <w:rFonts w:ascii="Arial" w:cs="Arial" w:eastAsia="Arial" w:hAnsi="Arial"/>
                <w:sz w:val="18"/>
                <w:szCs w:val="18"/>
                <w:b w:val="1"/>
                <w:bCs w:val="1"/>
                <w:color w:val="FFFFFF"/>
              </w:rPr>
              <w:t>​​​  FY25</w:t>
            </w:r>
          </w:p>
        </w:tc>
        <w:tc>
          <w:tcPr>
            <w:tcW w:w="1140" w:type="dxa"/>
            <w:vAlign w:val="bottom"/>
            <w:shd w:val="clear" w:color="auto" w:fill="212322"/>
          </w:tcPr>
          <w:p>
            <w:pPr>
              <w:jc w:val="right"/>
              <w:ind w:right="190"/>
              <w:spacing w:after="0"/>
              <w:rPr>
                <w:sz w:val="20"/>
                <w:szCs w:val="20"/>
                <w:color w:val="auto"/>
              </w:rPr>
            </w:pPr>
            <w:r>
              <w:rPr>
                <w:rFonts w:ascii="Arial" w:cs="Arial" w:eastAsia="Arial" w:hAnsi="Arial"/>
                <w:sz w:val="18"/>
                <w:szCs w:val="18"/>
                <w:b w:val="1"/>
                <w:bCs w:val="1"/>
                <w:color w:val="FFFFFF"/>
              </w:rPr>
              <w:t>​​​  FY26</w:t>
            </w:r>
          </w:p>
        </w:tc>
        <w:tc>
          <w:tcPr>
            <w:tcW w:w="2060" w:type="dxa"/>
            <w:vAlign w:val="bottom"/>
            <w:gridSpan w:val="2"/>
            <w:shd w:val="clear" w:color="auto" w:fill="212322"/>
          </w:tcPr>
          <w:p>
            <w:pPr>
              <w:ind w:left="60"/>
              <w:spacing w:after="0"/>
              <w:rPr>
                <w:sz w:val="20"/>
                <w:szCs w:val="20"/>
                <w:color w:val="auto"/>
              </w:rPr>
            </w:pPr>
            <w:r>
              <w:rPr>
                <w:rFonts w:ascii="Arial" w:cs="Arial" w:eastAsia="Arial" w:hAnsi="Arial"/>
                <w:sz w:val="18"/>
                <w:szCs w:val="18"/>
                <w:b w:val="1"/>
                <w:bCs w:val="1"/>
                <w:color w:val="FFFFFF"/>
              </w:rPr>
              <w:t>​​Increase​ ​​​</w:t>
            </w:r>
          </w:p>
        </w:tc>
        <w:tc>
          <w:tcPr>
            <w:tcW w:w="3480" w:type="dxa"/>
            <w:vAlign w:val="bottom"/>
            <w:shd w:val="clear" w:color="auto" w:fill="212322"/>
          </w:tcPr>
          <w:p>
            <w:pPr>
              <w:ind w:left="880"/>
              <w:spacing w:after="0"/>
              <w:rPr>
                <w:sz w:val="20"/>
                <w:szCs w:val="20"/>
                <w:color w:val="auto"/>
              </w:rPr>
            </w:pPr>
            <w:r>
              <w:rPr>
                <w:rFonts w:ascii="Arial" w:cs="Arial" w:eastAsia="Arial" w:hAnsi="Arial"/>
                <w:sz w:val="18"/>
                <w:szCs w:val="18"/>
                <w:b w:val="1"/>
                <w:bCs w:val="1"/>
                <w:color w:val="FFFFFF"/>
              </w:rPr>
              <w:t>Rationale</w:t>
            </w:r>
          </w:p>
        </w:tc>
      </w:tr>
      <w:tr>
        <w:trPr>
          <w:trHeight w:val="184"/>
        </w:trPr>
        <w:tc>
          <w:tcPr>
            <w:tcW w:w="1900" w:type="dxa"/>
            <w:vAlign w:val="bottom"/>
          </w:tcPr>
          <w:p>
            <w:pPr>
              <w:ind w:left="120"/>
              <w:spacing w:after="0" w:line="183" w:lineRule="exact"/>
              <w:rPr>
                <w:sz w:val="20"/>
                <w:szCs w:val="20"/>
                <w:color w:val="auto"/>
              </w:rPr>
            </w:pPr>
            <w:r>
              <w:rPr>
                <w:rFonts w:ascii="Arial" w:cs="Arial" w:eastAsia="Arial" w:hAnsi="Arial"/>
                <w:sz w:val="18"/>
                <w:szCs w:val="18"/>
                <w:b w:val="1"/>
                <w:bCs w:val="1"/>
                <w:color w:val="F37F00"/>
              </w:rPr>
              <w:t>Philip B. Daniele, III</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202124"/>
              </w:rPr>
              <w:t>1,000,000</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202124"/>
              </w:rPr>
              <w:t>1,200,000</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202124"/>
              </w:rPr>
              <w:t>20.0 %</w:t>
            </w:r>
          </w:p>
        </w:tc>
        <w:tc>
          <w:tcPr>
            <w:tcW w:w="4440" w:type="dxa"/>
            <w:vAlign w:val="bottom"/>
            <w:gridSpan w:val="2"/>
          </w:tcPr>
          <w:p>
            <w:pPr>
              <w:ind w:left="40"/>
              <w:spacing w:after="0" w:line="183" w:lineRule="exact"/>
              <w:rPr>
                <w:sz w:val="20"/>
                <w:szCs w:val="20"/>
                <w:color w:val="auto"/>
              </w:rPr>
            </w:pPr>
            <w:r>
              <w:rPr>
                <w:rFonts w:ascii="Arial" w:cs="Arial" w:eastAsia="Arial" w:hAnsi="Arial"/>
                <w:sz w:val="18"/>
                <w:szCs w:val="18"/>
                <w:color w:val="202124"/>
              </w:rPr>
              <w:t>The increase reflects leadership contributions in an</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evolving operating environment, the scope and</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complexity of the role, and the importance of</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leadership continuity. Consistent with our</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compensation philosophy, compensation is targeted to</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remain competitive and generally aligned at or below</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the peer group median, considering tenure,</w:t>
            </w:r>
          </w:p>
        </w:tc>
      </w:tr>
      <w:tr>
        <w:trPr>
          <w:trHeight w:val="239"/>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202124"/>
              </w:rPr>
              <w:t>experience, and role responsibilities</w:t>
            </w:r>
          </w:p>
        </w:tc>
      </w:tr>
      <w:tr>
        <w:trPr>
          <w:trHeight w:val="293"/>
        </w:trPr>
        <w:tc>
          <w:tcPr>
            <w:tcW w:w="19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gridSpan w:val="2"/>
          </w:tcPr>
          <w:p>
            <w:pPr>
              <w:spacing w:after="0"/>
              <w:rPr>
                <w:sz w:val="24"/>
                <w:szCs w:val="24"/>
                <w:color w:val="auto"/>
              </w:rPr>
            </w:pPr>
          </w:p>
        </w:tc>
      </w:tr>
      <w:tr>
        <w:trPr>
          <w:trHeight w:val="177"/>
        </w:trPr>
        <w:tc>
          <w:tcPr>
            <w:tcW w:w="1900" w:type="dxa"/>
            <w:vAlign w:val="bottom"/>
          </w:tcPr>
          <w:p>
            <w:pPr>
              <w:ind w:left="120"/>
              <w:spacing w:after="0" w:line="177" w:lineRule="exact"/>
              <w:rPr>
                <w:sz w:val="20"/>
                <w:szCs w:val="20"/>
                <w:color w:val="auto"/>
              </w:rPr>
            </w:pPr>
            <w:r>
              <w:rPr>
                <w:rFonts w:ascii="Arial" w:cs="Arial" w:eastAsia="Arial" w:hAnsi="Arial"/>
                <w:sz w:val="18"/>
                <w:szCs w:val="18"/>
                <w:b w:val="1"/>
                <w:bCs w:val="1"/>
                <w:color w:val="F37F00"/>
              </w:rPr>
              <w:t>Jamere Jackson</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810,000</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826,000</w:t>
            </w:r>
          </w:p>
        </w:tc>
        <w:tc>
          <w:tcPr>
            <w:tcW w:w="1100" w:type="dxa"/>
            <w:vAlign w:val="bottom"/>
          </w:tcPr>
          <w:p>
            <w:pPr>
              <w:jc w:val="right"/>
              <w:spacing w:after="0" w:line="177" w:lineRule="exact"/>
              <w:rPr>
                <w:sz w:val="20"/>
                <w:szCs w:val="20"/>
                <w:color w:val="auto"/>
              </w:rPr>
            </w:pPr>
            <w:r>
              <w:rPr>
                <w:rFonts w:ascii="Arial" w:cs="Arial" w:eastAsia="Arial" w:hAnsi="Arial"/>
                <w:sz w:val="18"/>
                <w:szCs w:val="18"/>
                <w:color w:val="202124"/>
              </w:rPr>
              <w:t>1.9 %</w:t>
            </w:r>
          </w:p>
        </w:tc>
        <w:tc>
          <w:tcPr>
            <w:tcW w:w="4440" w:type="dxa"/>
            <w:vAlign w:val="bottom"/>
            <w:gridSpan w:val="2"/>
          </w:tcPr>
          <w:p>
            <w:pPr>
              <w:ind w:left="40"/>
              <w:spacing w:after="0" w:line="177" w:lineRule="exact"/>
              <w:rPr>
                <w:sz w:val="20"/>
                <w:szCs w:val="20"/>
                <w:color w:val="auto"/>
              </w:rPr>
            </w:pPr>
            <w:r>
              <w:rPr>
                <w:rFonts w:ascii="Arial" w:cs="Arial" w:eastAsia="Arial" w:hAnsi="Arial"/>
                <w:sz w:val="18"/>
                <w:szCs w:val="18"/>
                <w:color w:val="202124"/>
              </w:rPr>
              <w:t>Pursuant to annual merit increase based on range</w:t>
            </w:r>
          </w:p>
        </w:tc>
      </w:tr>
      <w:tr>
        <w:trPr>
          <w:trHeight w:val="239"/>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202124"/>
              </w:rPr>
              <w:t>penetration and performance</w:t>
            </w:r>
          </w:p>
        </w:tc>
      </w:tr>
      <w:tr>
        <w:trPr>
          <w:trHeight w:val="50"/>
        </w:trPr>
        <w:tc>
          <w:tcPr>
            <w:tcW w:w="19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gridSpan w:val="2"/>
          </w:tcPr>
          <w:p>
            <w:pPr>
              <w:spacing w:after="0"/>
              <w:rPr>
                <w:sz w:val="4"/>
                <w:szCs w:val="4"/>
                <w:color w:val="auto"/>
              </w:rPr>
            </w:pPr>
          </w:p>
        </w:tc>
      </w:tr>
      <w:tr>
        <w:trPr>
          <w:trHeight w:val="177"/>
        </w:trPr>
        <w:tc>
          <w:tcPr>
            <w:tcW w:w="1900" w:type="dxa"/>
            <w:vAlign w:val="bottom"/>
          </w:tcPr>
          <w:p>
            <w:pPr>
              <w:ind w:left="120"/>
              <w:spacing w:after="0" w:line="177" w:lineRule="exact"/>
              <w:rPr>
                <w:sz w:val="20"/>
                <w:szCs w:val="20"/>
                <w:color w:val="auto"/>
              </w:rPr>
            </w:pPr>
            <w:r>
              <w:rPr>
                <w:rFonts w:ascii="Arial" w:cs="Arial" w:eastAsia="Arial" w:hAnsi="Arial"/>
                <w:sz w:val="18"/>
                <w:szCs w:val="18"/>
                <w:b w:val="1"/>
                <w:bCs w:val="1"/>
                <w:color w:val="F37F00"/>
              </w:rPr>
              <w:t>Thomas B. Newbern</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810,000</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826,000</w:t>
            </w:r>
          </w:p>
        </w:tc>
        <w:tc>
          <w:tcPr>
            <w:tcW w:w="1100" w:type="dxa"/>
            <w:vAlign w:val="bottom"/>
          </w:tcPr>
          <w:p>
            <w:pPr>
              <w:jc w:val="right"/>
              <w:spacing w:after="0" w:line="177" w:lineRule="exact"/>
              <w:rPr>
                <w:sz w:val="20"/>
                <w:szCs w:val="20"/>
                <w:color w:val="auto"/>
              </w:rPr>
            </w:pPr>
            <w:r>
              <w:rPr>
                <w:rFonts w:ascii="Arial" w:cs="Arial" w:eastAsia="Arial" w:hAnsi="Arial"/>
                <w:sz w:val="18"/>
                <w:szCs w:val="18"/>
                <w:color w:val="202124"/>
              </w:rPr>
              <w:t>1.9 %</w:t>
            </w:r>
          </w:p>
        </w:tc>
        <w:tc>
          <w:tcPr>
            <w:tcW w:w="4440" w:type="dxa"/>
            <w:vAlign w:val="bottom"/>
            <w:gridSpan w:val="2"/>
          </w:tcPr>
          <w:p>
            <w:pPr>
              <w:ind w:left="40"/>
              <w:spacing w:after="0" w:line="177" w:lineRule="exact"/>
              <w:rPr>
                <w:sz w:val="20"/>
                <w:szCs w:val="20"/>
                <w:color w:val="auto"/>
              </w:rPr>
            </w:pPr>
            <w:r>
              <w:rPr>
                <w:rFonts w:ascii="Arial" w:cs="Arial" w:eastAsia="Arial" w:hAnsi="Arial"/>
                <w:sz w:val="18"/>
                <w:szCs w:val="18"/>
                <w:color w:val="202124"/>
              </w:rPr>
              <w:t>Pursuant to annual merit increase based on range</w:t>
            </w:r>
          </w:p>
        </w:tc>
      </w:tr>
      <w:tr>
        <w:trPr>
          <w:trHeight w:val="239"/>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202124"/>
              </w:rPr>
              <w:t>penetration and performance</w:t>
            </w:r>
          </w:p>
        </w:tc>
      </w:tr>
      <w:tr>
        <w:trPr>
          <w:trHeight w:val="50"/>
        </w:trPr>
        <w:tc>
          <w:tcPr>
            <w:tcW w:w="19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gridSpan w:val="2"/>
          </w:tcPr>
          <w:p>
            <w:pPr>
              <w:spacing w:after="0"/>
              <w:rPr>
                <w:sz w:val="4"/>
                <w:szCs w:val="4"/>
                <w:color w:val="auto"/>
              </w:rPr>
            </w:pPr>
          </w:p>
        </w:tc>
      </w:tr>
      <w:tr>
        <w:trPr>
          <w:trHeight w:val="177"/>
        </w:trPr>
        <w:tc>
          <w:tcPr>
            <w:tcW w:w="1900" w:type="dxa"/>
            <w:vAlign w:val="bottom"/>
          </w:tcPr>
          <w:p>
            <w:pPr>
              <w:ind w:left="120"/>
              <w:spacing w:after="0" w:line="177" w:lineRule="exact"/>
              <w:rPr>
                <w:sz w:val="20"/>
                <w:szCs w:val="20"/>
                <w:color w:val="auto"/>
              </w:rPr>
            </w:pPr>
            <w:r>
              <w:rPr>
                <w:rFonts w:ascii="Arial" w:cs="Arial" w:eastAsia="Arial" w:hAnsi="Arial"/>
                <w:sz w:val="18"/>
                <w:szCs w:val="18"/>
                <w:b w:val="1"/>
                <w:bCs w:val="1"/>
                <w:color w:val="F37F00"/>
              </w:rPr>
              <w:t>Eric S. Gould</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398,000</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520,000</w:t>
            </w:r>
          </w:p>
        </w:tc>
        <w:tc>
          <w:tcPr>
            <w:tcW w:w="1100" w:type="dxa"/>
            <w:vAlign w:val="bottom"/>
          </w:tcPr>
          <w:p>
            <w:pPr>
              <w:jc w:val="right"/>
              <w:spacing w:after="0" w:line="177" w:lineRule="exact"/>
              <w:rPr>
                <w:sz w:val="20"/>
                <w:szCs w:val="20"/>
                <w:color w:val="auto"/>
              </w:rPr>
            </w:pPr>
            <w:r>
              <w:rPr>
                <w:rFonts w:ascii="Arial" w:cs="Arial" w:eastAsia="Arial" w:hAnsi="Arial"/>
                <w:sz w:val="18"/>
                <w:szCs w:val="18"/>
                <w:color w:val="202124"/>
              </w:rPr>
              <w:t>30.7 %</w:t>
            </w:r>
          </w:p>
        </w:tc>
        <w:tc>
          <w:tcPr>
            <w:tcW w:w="4440" w:type="dxa"/>
            <w:vAlign w:val="bottom"/>
            <w:gridSpan w:val="2"/>
          </w:tcPr>
          <w:p>
            <w:pPr>
              <w:ind w:left="40"/>
              <w:spacing w:after="0" w:line="177" w:lineRule="exact"/>
              <w:rPr>
                <w:sz w:val="20"/>
                <w:szCs w:val="20"/>
                <w:color w:val="auto"/>
              </w:rPr>
            </w:pPr>
            <w:r>
              <w:rPr>
                <w:rFonts w:ascii="Arial" w:cs="Arial" w:eastAsia="Arial" w:hAnsi="Arial"/>
                <w:sz w:val="18"/>
                <w:szCs w:val="18"/>
                <w:color w:val="202124"/>
              </w:rPr>
              <w:t>Promoted at the end of FY25 and, following our usual</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practice, no additional increase was made during</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FY26. At the end of FY25 for his promotion to</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Executive Vice President, Mr. Gould received a</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$122,000, or 30.7% increase to a base of $520,000. In</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establishing compensation levels, base salary was</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positioned conservatively, while the overall</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compensation package was designed to be</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competitive to market while emphasizing at-risk,</w:t>
            </w:r>
          </w:p>
        </w:tc>
      </w:tr>
      <w:tr>
        <w:trPr>
          <w:trHeight w:val="203"/>
        </w:trPr>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2"/>
          </w:tcPr>
          <w:p>
            <w:pPr>
              <w:ind w:left="40"/>
              <w:spacing w:after="0" w:line="202" w:lineRule="exact"/>
              <w:rPr>
                <w:sz w:val="20"/>
                <w:szCs w:val="20"/>
                <w:color w:val="auto"/>
              </w:rPr>
            </w:pPr>
            <w:r>
              <w:rPr>
                <w:rFonts w:ascii="Arial" w:cs="Arial" w:eastAsia="Arial" w:hAnsi="Arial"/>
                <w:sz w:val="18"/>
                <w:szCs w:val="18"/>
                <w:color w:val="202124"/>
              </w:rPr>
              <w:t>performance-based compensation and long-term</w:t>
            </w:r>
          </w:p>
        </w:tc>
      </w:tr>
      <w:tr>
        <w:trPr>
          <w:trHeight w:val="239"/>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202124"/>
              </w:rPr>
              <w:t>stockholder alignment.</w:t>
            </w:r>
          </w:p>
        </w:tc>
      </w:tr>
      <w:tr>
        <w:trPr>
          <w:trHeight w:val="401"/>
        </w:trPr>
        <w:tc>
          <w:tcPr>
            <w:tcW w:w="19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gridSpan w:val="2"/>
          </w:tcPr>
          <w:p>
            <w:pPr>
              <w:spacing w:after="0"/>
              <w:rPr>
                <w:sz w:val="24"/>
                <w:szCs w:val="24"/>
                <w:color w:val="auto"/>
              </w:rPr>
            </w:pPr>
          </w:p>
        </w:tc>
      </w:tr>
      <w:tr>
        <w:trPr>
          <w:trHeight w:val="177"/>
        </w:trPr>
        <w:tc>
          <w:tcPr>
            <w:tcW w:w="1900" w:type="dxa"/>
            <w:vAlign w:val="bottom"/>
          </w:tcPr>
          <w:p>
            <w:pPr>
              <w:ind w:left="120"/>
              <w:spacing w:after="0" w:line="177" w:lineRule="exact"/>
              <w:rPr>
                <w:sz w:val="20"/>
                <w:szCs w:val="20"/>
                <w:color w:val="auto"/>
              </w:rPr>
            </w:pPr>
            <w:r>
              <w:rPr>
                <w:rFonts w:ascii="Arial" w:cs="Arial" w:eastAsia="Arial" w:hAnsi="Arial"/>
                <w:sz w:val="18"/>
                <w:szCs w:val="18"/>
                <w:b w:val="1"/>
                <w:bCs w:val="1"/>
                <w:color w:val="F37F00"/>
              </w:rPr>
              <w:t>Kenneth E. Jaycox,</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500,000</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202124"/>
              </w:rPr>
              <w:t>510,000</w:t>
            </w:r>
          </w:p>
        </w:tc>
        <w:tc>
          <w:tcPr>
            <w:tcW w:w="1100" w:type="dxa"/>
            <w:vAlign w:val="bottom"/>
          </w:tcPr>
          <w:p>
            <w:pPr>
              <w:jc w:val="right"/>
              <w:spacing w:after="0" w:line="177" w:lineRule="exact"/>
              <w:rPr>
                <w:sz w:val="20"/>
                <w:szCs w:val="20"/>
                <w:color w:val="auto"/>
              </w:rPr>
            </w:pPr>
            <w:r>
              <w:rPr>
                <w:rFonts w:ascii="Arial" w:cs="Arial" w:eastAsia="Arial" w:hAnsi="Arial"/>
                <w:sz w:val="18"/>
                <w:szCs w:val="18"/>
                <w:color w:val="202124"/>
              </w:rPr>
              <w:t>2.0 %</w:t>
            </w:r>
          </w:p>
        </w:tc>
        <w:tc>
          <w:tcPr>
            <w:tcW w:w="4440" w:type="dxa"/>
            <w:vAlign w:val="bottom"/>
            <w:gridSpan w:val="2"/>
          </w:tcPr>
          <w:p>
            <w:pPr>
              <w:ind w:left="40"/>
              <w:spacing w:after="0" w:line="177" w:lineRule="exact"/>
              <w:rPr>
                <w:sz w:val="20"/>
                <w:szCs w:val="20"/>
                <w:color w:val="auto"/>
              </w:rPr>
            </w:pPr>
            <w:r>
              <w:rPr>
                <w:rFonts w:ascii="Arial" w:cs="Arial" w:eastAsia="Arial" w:hAnsi="Arial"/>
                <w:sz w:val="18"/>
                <w:szCs w:val="18"/>
                <w:color w:val="202124"/>
              </w:rPr>
              <w:t>Pursuant to annual merit increase based on range</w:t>
            </w:r>
          </w:p>
        </w:tc>
      </w:tr>
      <w:tr>
        <w:trPr>
          <w:trHeight w:val="247"/>
        </w:trPr>
        <w:tc>
          <w:tcPr>
            <w:tcW w:w="1900" w:type="dxa"/>
            <w:vAlign w:val="bottom"/>
          </w:tcPr>
          <w:p>
            <w:pPr>
              <w:ind w:left="120"/>
              <w:spacing w:after="0"/>
              <w:rPr>
                <w:sz w:val="20"/>
                <w:szCs w:val="20"/>
                <w:color w:val="auto"/>
              </w:rPr>
            </w:pPr>
            <w:r>
              <w:rPr>
                <w:rFonts w:ascii="Arial" w:cs="Arial" w:eastAsia="Arial" w:hAnsi="Arial"/>
                <w:sz w:val="18"/>
                <w:szCs w:val="18"/>
                <w:b w:val="1"/>
                <w:bCs w:val="1"/>
                <w:color w:val="F37F00"/>
              </w:rPr>
              <w:t>Jr.</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202124"/>
              </w:rPr>
              <w:t>penetration and performance</w:t>
            </w:r>
          </w:p>
        </w:tc>
      </w:tr>
      <w:tr>
        <w:trPr>
          <w:trHeight w:val="76"/>
        </w:trPr>
        <w:tc>
          <w:tcPr>
            <w:tcW w:w="1900" w:type="dxa"/>
            <w:vAlign w:val="bottom"/>
            <w:tcBorders>
              <w:bottom w:val="single" w:sz="8" w:color="202124"/>
            </w:tcBorders>
          </w:tcPr>
          <w:p>
            <w:pPr>
              <w:spacing w:after="0"/>
              <w:rPr>
                <w:sz w:val="6"/>
                <w:szCs w:val="6"/>
                <w:color w:val="auto"/>
              </w:rPr>
            </w:pPr>
          </w:p>
        </w:tc>
        <w:tc>
          <w:tcPr>
            <w:tcW w:w="1140" w:type="dxa"/>
            <w:vAlign w:val="bottom"/>
            <w:tcBorders>
              <w:bottom w:val="single" w:sz="8" w:color="202124"/>
            </w:tcBorders>
          </w:tcPr>
          <w:p>
            <w:pPr>
              <w:spacing w:after="0"/>
              <w:rPr>
                <w:sz w:val="6"/>
                <w:szCs w:val="6"/>
                <w:color w:val="auto"/>
              </w:rPr>
            </w:pPr>
          </w:p>
        </w:tc>
        <w:tc>
          <w:tcPr>
            <w:tcW w:w="1140" w:type="dxa"/>
            <w:vAlign w:val="bottom"/>
            <w:tcBorders>
              <w:bottom w:val="single" w:sz="8" w:color="202124"/>
            </w:tcBorders>
          </w:tcPr>
          <w:p>
            <w:pPr>
              <w:spacing w:after="0"/>
              <w:rPr>
                <w:sz w:val="6"/>
                <w:szCs w:val="6"/>
                <w:color w:val="auto"/>
              </w:rPr>
            </w:pPr>
          </w:p>
        </w:tc>
        <w:tc>
          <w:tcPr>
            <w:tcW w:w="1100" w:type="dxa"/>
            <w:vAlign w:val="bottom"/>
            <w:tcBorders>
              <w:bottom w:val="single" w:sz="8" w:color="202124"/>
            </w:tcBorders>
          </w:tcPr>
          <w:p>
            <w:pPr>
              <w:spacing w:after="0"/>
              <w:rPr>
                <w:sz w:val="6"/>
                <w:szCs w:val="6"/>
                <w:color w:val="auto"/>
              </w:rPr>
            </w:pPr>
          </w:p>
        </w:tc>
        <w:tc>
          <w:tcPr>
            <w:tcW w:w="960" w:type="dxa"/>
            <w:vAlign w:val="bottom"/>
            <w:tcBorders>
              <w:bottom w:val="single" w:sz="8" w:color="202124"/>
            </w:tcBorders>
          </w:tcPr>
          <w:p>
            <w:pPr>
              <w:spacing w:after="0"/>
              <w:rPr>
                <w:sz w:val="6"/>
                <w:szCs w:val="6"/>
                <w:color w:val="auto"/>
              </w:rPr>
            </w:pPr>
          </w:p>
        </w:tc>
        <w:tc>
          <w:tcPr>
            <w:tcW w:w="3480" w:type="dxa"/>
            <w:vAlign w:val="bottom"/>
            <w:tcBorders>
              <w:bottom w:val="single" w:sz="8" w:color="202124"/>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52   </w:t>
      </w:r>
      <w:r>
        <w:rPr>
          <w:sz w:val="1"/>
          <w:szCs w:val="1"/>
          <w:color w:val="auto"/>
        </w:rPr>
        <w:drawing>
          <wp:inline distT="0" distB="0" distL="0" distR="0">
            <wp:extent cx="1165860" cy="137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55" w:name="page56"/>
    <w:bookmarkEnd w:id="5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ANNUAL INCENTIVE PLAN</w:t>
      </w:r>
    </w:p>
    <w:p>
      <w:pPr>
        <w:spacing w:after="0" w:line="50" w:lineRule="exact"/>
        <w:rPr>
          <w:sz w:val="20"/>
          <w:szCs w:val="20"/>
          <w:color w:val="auto"/>
        </w:rPr>
      </w:pPr>
    </w:p>
    <w:p>
      <w:pPr>
        <w:ind w:left="640" w:right="60"/>
        <w:spacing w:after="0" w:line="253" w:lineRule="auto"/>
        <w:rPr>
          <w:sz w:val="20"/>
          <w:szCs w:val="20"/>
          <w:color w:val="auto"/>
        </w:rPr>
      </w:pPr>
      <w:r>
        <w:rPr>
          <w:rFonts w:ascii="Arial" w:cs="Arial" w:eastAsia="Arial" w:hAnsi="Arial"/>
          <w:sz w:val="18"/>
          <w:szCs w:val="18"/>
          <w:color w:val="202124"/>
        </w:rPr>
        <w:t>All executive officers were eligible to receive an annual cash incentive award under the FY26 U.S. Management Incentive Plan (“MIP”), which is designed to motivate and reward executives for short-term performance measured against pre-established financial goals. The following graphic illustrates the general design and structure of the MIP.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spacing w:after="0" w:line="238" w:lineRule="auto"/>
        <w:rPr>
          <w:sz w:val="20"/>
          <w:szCs w:val="20"/>
          <w:color w:val="auto"/>
        </w:rPr>
      </w:pPr>
      <w:r>
        <w:rPr>
          <w:rFonts w:ascii="Arial" w:cs="Arial" w:eastAsia="Arial" w:hAnsi="Arial"/>
          <w:sz w:val="18"/>
          <w:szCs w:val="18"/>
          <w:color w:val="202124"/>
        </w:rPr>
        <w:t xml:space="preserve">The Compensation Committee annually reviews the design and elements of our executive compensation program to ensure it continues to reflect our Guiding Principles. In addition, the Committee periodically engages in a deeper review as may be appropriate due to evolving best practices, macroeconomic circumstances or otherwise. For example, during FY26, the Compensation Committee reviewed historical annual plan attainment levels over the prior 20-year period to ensure plan design reflected the Guiding Principles of </w:t>
      </w:r>
      <w:r>
        <w:rPr>
          <w:rFonts w:ascii="Arial" w:cs="Arial" w:eastAsia="Arial" w:hAnsi="Arial"/>
          <w:sz w:val="18"/>
          <w:szCs w:val="18"/>
          <w:i w:val="1"/>
          <w:iCs w:val="1"/>
          <w:color w:val="202124"/>
        </w:rPr>
        <w:t>Drive Performance</w:t>
      </w:r>
      <w:r>
        <w:rPr>
          <w:rFonts w:ascii="Arial" w:cs="Arial" w:eastAsia="Arial" w:hAnsi="Arial"/>
          <w:sz w:val="18"/>
          <w:szCs w:val="18"/>
          <w:color w:val="202124"/>
        </w:rPr>
        <w:t xml:space="preserve"> and </w:t>
      </w:r>
      <w:r>
        <w:rPr>
          <w:rFonts w:ascii="Arial" w:cs="Arial" w:eastAsia="Arial" w:hAnsi="Arial"/>
          <w:sz w:val="18"/>
          <w:szCs w:val="18"/>
          <w:i w:val="1"/>
          <w:iCs w:val="1"/>
          <w:color w:val="202124"/>
        </w:rPr>
        <w:t>Drive Shareholder Value</w:t>
      </w:r>
      <w:r>
        <w:rPr>
          <w:rFonts w:ascii="Arial" w:cs="Arial" w:eastAsia="Arial" w:hAnsi="Arial"/>
          <w:sz w:val="18"/>
          <w:szCs w:val="18"/>
          <w:color w:val="202124"/>
        </w:rPr>
        <w:t>. In particular, the Compensation Committee reviewed incentive plan payout levels and performance against planned targets. In the instances where the Company performed significantly greater than plan and executive officers earned significant incentive plan payouts, the Committee reviewed underlying factors driving the exceptional performance, the incremental cost to stockholders, industry performance and industry-wide compensation practices. Based on this review, the Compensation Committee determined the MIP is designed effectively and furthers all three Guiding Principles. As a result, the Compensation Committee has not made any significant changes to the plan design.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Target Opportunity</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Each executive officer’s annual incentive plan target opportunity is expressed as a percentage of base salary,</w:t>
      </w:r>
    </w:p>
    <w:p>
      <w:pPr>
        <w:spacing w:after="0" w:line="14" w:lineRule="exact"/>
        <w:rPr>
          <w:sz w:val="20"/>
          <w:szCs w:val="20"/>
          <w:color w:val="auto"/>
        </w:rPr>
      </w:pPr>
    </w:p>
    <w:p>
      <w:pPr>
        <w:ind w:left="640" w:right="60"/>
        <w:spacing w:after="0"/>
        <w:rPr>
          <w:sz w:val="20"/>
          <w:szCs w:val="20"/>
          <w:color w:val="auto"/>
        </w:rPr>
      </w:pPr>
      <w:r>
        <w:rPr>
          <w:rFonts w:ascii="Arial" w:cs="Arial" w:eastAsia="Arial" w:hAnsi="Arial"/>
          <w:sz w:val="18"/>
          <w:szCs w:val="18"/>
          <w:color w:val="202124"/>
        </w:rPr>
        <w:t>which percentage is based on the individual’s level of responsibility within the organization. As an individual’s level of seniority and management responsibility increases, his or her target opportunity as a percentage of base salary increases and therefore the portion of his or her total performance-based compensation increases. There is no minimum level of payout, and the maximum payout is capped at 300%.</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Performance Goals and Payout Matrix</w:t>
      </w:r>
    </w:p>
    <w:p>
      <w:pPr>
        <w:spacing w:after="0" w:line="104"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color w:val="202124"/>
        </w:rPr>
        <w:t xml:space="preserve">Actual payouts under our annual incentive plan are based upon performance against the matrix set forth on the following page. In developing the matrix, the Compensation Committee began with </w:t>
      </w:r>
      <w:r>
        <w:rPr>
          <w:rFonts w:ascii="Arial" w:cs="Arial" w:eastAsia="Arial" w:hAnsi="Arial"/>
          <w:sz w:val="18"/>
          <w:szCs w:val="18"/>
          <w:b w:val="1"/>
          <w:bCs w:val="1"/>
          <w:color w:val="202124"/>
        </w:rPr>
        <w:t>Economic Profit</w:t>
      </w:r>
      <w:r>
        <w:rPr>
          <w:rFonts w:ascii="Arial" w:cs="Arial" w:eastAsia="Arial" w:hAnsi="Arial"/>
          <w:sz w:val="18"/>
          <w:szCs w:val="18"/>
          <w:color w:val="202124"/>
        </w:rPr>
        <w:t xml:space="preserve"> because it ensures that the Company is using capital to generate profitable earnings efficiently and in a manner that is sustainable for the future. In other words, Economic Profit ensures that </w:t>
      </w:r>
      <w:r>
        <w:rPr>
          <w:rFonts w:ascii="Arial" w:cs="Arial" w:eastAsia="Arial" w:hAnsi="Arial"/>
          <w:sz w:val="18"/>
          <w:szCs w:val="18"/>
          <w:i w:val="1"/>
          <w:iCs w:val="1"/>
          <w:color w:val="202124"/>
        </w:rPr>
        <w:t>growth</w:t>
      </w:r>
      <w:r>
        <w:rPr>
          <w:rFonts w:ascii="Arial" w:cs="Arial" w:eastAsia="Arial" w:hAnsi="Arial"/>
          <w:sz w:val="18"/>
          <w:szCs w:val="18"/>
          <w:color w:val="202124"/>
        </w:rPr>
        <w:t xml:space="preserve">, as well as the </w:t>
      </w:r>
      <w:r>
        <w:rPr>
          <w:rFonts w:ascii="Arial" w:cs="Arial" w:eastAsia="Arial" w:hAnsi="Arial"/>
          <w:sz w:val="18"/>
          <w:szCs w:val="18"/>
          <w:i w:val="1"/>
          <w:iCs w:val="1"/>
          <w:color w:val="202124"/>
        </w:rPr>
        <w:t>cost of growth</w:t>
      </w:r>
      <w:r>
        <w:rPr>
          <w:rFonts w:ascii="Arial" w:cs="Arial" w:eastAsia="Arial" w:hAnsi="Arial"/>
          <w:sz w:val="18"/>
          <w:szCs w:val="18"/>
          <w:color w:val="202124"/>
        </w:rPr>
        <w:t xml:space="preserve">, are balanced and achieved in a manner that maximizes the long-term interests of our stockholders. Furthermore, </w:t>
      </w:r>
      <w:r>
        <w:rPr>
          <w:rFonts w:ascii="Arial" w:cs="Arial" w:eastAsia="Arial" w:hAnsi="Arial"/>
          <w:sz w:val="18"/>
          <w:szCs w:val="18"/>
          <w:b w:val="1"/>
          <w:bCs w:val="1"/>
          <w:color w:val="202124"/>
        </w:rPr>
        <w:t>Economic Profit allows us to align short-term</w:t>
      </w:r>
      <w:r>
        <w:rPr>
          <w:rFonts w:ascii="Arial" w:cs="Arial" w:eastAsia="Arial" w:hAnsi="Arial"/>
          <w:sz w:val="18"/>
          <w:szCs w:val="18"/>
          <w:color w:val="202124"/>
        </w:rPr>
        <w:t xml:space="preserve"> </w:t>
      </w:r>
      <w:r>
        <w:rPr>
          <w:rFonts w:ascii="Arial" w:cs="Arial" w:eastAsia="Arial" w:hAnsi="Arial"/>
          <w:sz w:val="18"/>
          <w:szCs w:val="18"/>
          <w:b w:val="1"/>
          <w:bCs w:val="1"/>
          <w:color w:val="202124"/>
        </w:rPr>
        <w:t>compensation goals to long-term value creation</w:t>
      </w:r>
      <w:r>
        <w:rPr>
          <w:rFonts w:ascii="Arial" w:cs="Arial" w:eastAsia="Arial" w:hAnsi="Arial"/>
          <w:sz w:val="18"/>
          <w:szCs w:val="18"/>
          <w:color w:val="202124"/>
        </w:rPr>
        <w:t>.</w:t>
      </w:r>
    </w:p>
    <w:p>
      <w:pPr>
        <w:spacing w:after="0" w:line="128" w:lineRule="exact"/>
        <w:rPr>
          <w:sz w:val="20"/>
          <w:szCs w:val="20"/>
          <w:color w:val="auto"/>
        </w:rPr>
      </w:pPr>
    </w:p>
    <w:p>
      <w:pPr>
        <w:ind w:left="640" w:right="40"/>
        <w:spacing w:after="0" w:line="242" w:lineRule="auto"/>
        <w:rPr>
          <w:sz w:val="20"/>
          <w:szCs w:val="20"/>
          <w:color w:val="auto"/>
        </w:rPr>
      </w:pPr>
      <w:r>
        <w:rPr>
          <w:rFonts w:ascii="Arial" w:cs="Arial" w:eastAsia="Arial" w:hAnsi="Arial"/>
          <w:sz w:val="18"/>
          <w:szCs w:val="18"/>
          <w:color w:val="202124"/>
        </w:rPr>
        <w:t xml:space="preserve">Accordingly, target Economic Profit, calculated by reference to the FY26 operating plan EBIT and ROIC, would result in target (or 100%) payout. Different levels of attainment of EBIT and ROIC on a pre-determined matrix result in varying levels of Economic Profit and payout is based upon actual Economic Profit against target Economic Profit. Accordingly, </w:t>
      </w:r>
      <w:r>
        <w:rPr>
          <w:rFonts w:ascii="Arial" w:cs="Arial" w:eastAsia="Arial" w:hAnsi="Arial"/>
          <w:sz w:val="18"/>
          <w:szCs w:val="18"/>
          <w:b w:val="1"/>
          <w:bCs w:val="1"/>
          <w:color w:val="202124"/>
        </w:rPr>
        <w:t xml:space="preserve">annual incentive payouts are driven by EBIT and ROIC and their corresponding impact to Economic Profit versus target. </w:t>
      </w:r>
      <w:r>
        <w:rPr>
          <w:rFonts w:ascii="Arial" w:cs="Arial" w:eastAsia="Arial" w:hAnsi="Arial"/>
          <w:sz w:val="18"/>
          <w:szCs w:val="18"/>
          <w:color w:val="202124"/>
        </w:rPr>
        <w:t>For these reasons, we do not apply straight-line interpolation of our EBIT and ROIC as we focus on impact to</w:t>
      </w:r>
      <w:r>
        <w:rPr>
          <w:rFonts w:ascii="Arial" w:cs="Arial" w:eastAsia="Arial" w:hAnsi="Arial"/>
          <w:sz w:val="18"/>
          <w:szCs w:val="18"/>
          <w:b w:val="1"/>
          <w:bCs w:val="1"/>
          <w:color w:val="202124"/>
        </w:rPr>
        <w:t xml:space="preserve"> </w:t>
      </w:r>
      <w:r>
        <w:rPr>
          <w:rFonts w:ascii="Arial" w:cs="Arial" w:eastAsia="Arial" w:hAnsi="Arial"/>
          <w:sz w:val="18"/>
          <w:szCs w:val="18"/>
          <w:color w:val="202124"/>
        </w:rPr>
        <w:t>Economic Profit instead.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53</w:t>
            </w:r>
          </w:p>
        </w:tc>
      </w:tr>
    </w:tbl>
    <w:p>
      <w:pPr>
        <w:sectPr>
          <w:pgSz w:w="11900" w:h="16838" w:orient="portrait"/>
          <w:cols w:equalWidth="0" w:num="1">
            <w:col w:w="10360"/>
          </w:cols>
          <w:pgMar w:left="440" w:top="106" w:right="1099" w:bottom="1440" w:gutter="0" w:footer="0" w:header="0"/>
        </w:sectPr>
      </w:pPr>
    </w:p>
    <w:bookmarkStart w:id="56" w:name="page57"/>
    <w:bookmarkEnd w:id="5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60"/>
        <w:spacing w:after="0" w:line="251" w:lineRule="auto"/>
        <w:rPr>
          <w:sz w:val="20"/>
          <w:szCs w:val="20"/>
          <w:color w:val="auto"/>
        </w:rPr>
      </w:pPr>
      <w:r>
        <w:rPr>
          <w:rFonts w:ascii="Arial" w:cs="Arial" w:eastAsia="Arial" w:hAnsi="Arial"/>
          <w:sz w:val="17"/>
          <w:szCs w:val="17"/>
          <w:color w:val="202124"/>
        </w:rPr>
        <w:t>The key metrics in developing the FY26 annual incentive plan are defined below. The Compensation Committee may (but is not required to) adjust for the effect of one-time charges and extraordinary events such as asset write-downs, litigation</w:t>
      </w:r>
    </w:p>
    <w:p>
      <w:pPr>
        <w:ind w:left="640"/>
        <w:spacing w:after="0" w:line="235" w:lineRule="auto"/>
        <w:rPr>
          <w:sz w:val="20"/>
          <w:szCs w:val="20"/>
          <w:color w:val="auto"/>
        </w:rPr>
      </w:pPr>
      <w:r>
        <w:rPr>
          <w:rFonts w:ascii="Arial" w:cs="Arial" w:eastAsia="Arial" w:hAnsi="Arial"/>
          <w:sz w:val="18"/>
          <w:szCs w:val="18"/>
          <w:color w:val="202124"/>
        </w:rPr>
        <w:t>judgments or settlements, changes in tax laws, accounting principles or other laws or provisions affecting reported results,</w:t>
      </w:r>
    </w:p>
    <w:p>
      <w:pPr>
        <w:ind w:left="640" w:right="180"/>
        <w:spacing w:after="0" w:line="226" w:lineRule="auto"/>
        <w:rPr>
          <w:sz w:val="20"/>
          <w:szCs w:val="20"/>
          <w:color w:val="auto"/>
        </w:rPr>
      </w:pPr>
      <w:r>
        <w:rPr>
          <w:rFonts w:ascii="Arial" w:cs="Arial" w:eastAsia="Arial" w:hAnsi="Arial"/>
          <w:sz w:val="18"/>
          <w:szCs w:val="18"/>
          <w:color w:val="202124"/>
        </w:rPr>
        <w:t>accruals for reorganization or restructuring, and any other extraordinary non-recurring items, acquisitions or divestitures and any foreign exchange gains or losses on the calculation of performance. In the last few years, we have experienced</w:t>
      </w:r>
    </w:p>
    <w:p>
      <w:pPr>
        <w:ind w:left="640"/>
        <w:spacing w:after="0" w:line="236" w:lineRule="auto"/>
        <w:rPr>
          <w:sz w:val="20"/>
          <w:szCs w:val="20"/>
          <w:color w:val="auto"/>
        </w:rPr>
      </w:pPr>
      <w:r>
        <w:rPr>
          <w:rFonts w:ascii="Arial" w:cs="Arial" w:eastAsia="Arial" w:hAnsi="Arial"/>
          <w:sz w:val="18"/>
          <w:szCs w:val="18"/>
          <w:color w:val="202124"/>
        </w:rPr>
        <w:t>significant product cost inflation, primarily driven by tariffs, resulting in the elimination of our unrecorded historical LIFO</w:t>
      </w:r>
    </w:p>
    <w:p>
      <w:pPr>
        <w:spacing w:after="0" w:line="1" w:lineRule="exact"/>
        <w:rPr>
          <w:sz w:val="20"/>
          <w:szCs w:val="20"/>
          <w:color w:val="auto"/>
        </w:rPr>
      </w:pPr>
    </w:p>
    <w:p>
      <w:pPr>
        <w:ind w:left="640" w:right="580"/>
        <w:spacing w:after="0" w:line="237" w:lineRule="auto"/>
        <w:rPr>
          <w:sz w:val="20"/>
          <w:szCs w:val="20"/>
          <w:color w:val="auto"/>
        </w:rPr>
      </w:pPr>
      <w:r>
        <w:rPr>
          <w:rFonts w:ascii="Arial" w:cs="Arial" w:eastAsia="Arial" w:hAnsi="Arial"/>
          <w:sz w:val="18"/>
          <w:szCs w:val="18"/>
          <w:color w:val="202124"/>
        </w:rPr>
        <w:t>reserve and non-cash LIFO adjustments that have added volatility to our pre-tax operating earnings. Therefore, the Compensation Committee has elected to exclude LIFO adjustments.</w:t>
      </w:r>
    </w:p>
    <w:p>
      <w:pPr>
        <w:spacing w:after="0" w:line="140" w:lineRule="exact"/>
        <w:rPr>
          <w:sz w:val="20"/>
          <w:szCs w:val="20"/>
          <w:color w:val="auto"/>
        </w:rPr>
      </w:pPr>
    </w:p>
    <w:p>
      <w:pPr>
        <w:ind w:left="1320" w:hanging="325"/>
        <w:spacing w:after="0"/>
        <w:tabs>
          <w:tab w:leader="none" w:pos="1320" w:val="left"/>
        </w:tabs>
        <w:numPr>
          <w:ilvl w:val="0"/>
          <w:numId w:val="83"/>
        </w:numPr>
        <w:rPr>
          <w:rFonts w:ascii="Times New Roman" w:cs="Times New Roman" w:eastAsia="Times New Roman" w:hAnsi="Times New Roman"/>
          <w:sz w:val="18"/>
          <w:szCs w:val="18"/>
          <w:color w:val="F37F00"/>
        </w:rPr>
      </w:pPr>
      <w:r>
        <w:rPr>
          <w:rFonts w:ascii="Arial" w:cs="Arial" w:eastAsia="Arial" w:hAnsi="Arial"/>
          <w:sz w:val="18"/>
          <w:szCs w:val="18"/>
          <w:color w:val="202124"/>
        </w:rPr>
        <w:t>Earnings before interest and taxes (“EBIT”) is defined as net income plus interest and taxes.</w:t>
      </w:r>
    </w:p>
    <w:p>
      <w:pPr>
        <w:spacing w:after="0" w:line="183" w:lineRule="exact"/>
        <w:rPr>
          <w:rFonts w:ascii="Times New Roman" w:cs="Times New Roman" w:eastAsia="Times New Roman" w:hAnsi="Times New Roman"/>
          <w:sz w:val="18"/>
          <w:szCs w:val="18"/>
          <w:color w:val="F37F00"/>
        </w:rPr>
      </w:pPr>
    </w:p>
    <w:p>
      <w:pPr>
        <w:ind w:left="1320" w:right="300" w:hanging="325"/>
        <w:spacing w:after="0" w:line="255" w:lineRule="auto"/>
        <w:tabs>
          <w:tab w:leader="none" w:pos="1320" w:val="left"/>
        </w:tabs>
        <w:numPr>
          <w:ilvl w:val="0"/>
          <w:numId w:val="83"/>
        </w:numPr>
        <w:rPr>
          <w:rFonts w:ascii="Times New Roman" w:cs="Times New Roman" w:eastAsia="Times New Roman" w:hAnsi="Times New Roman"/>
          <w:sz w:val="18"/>
          <w:szCs w:val="18"/>
          <w:color w:val="F37F00"/>
        </w:rPr>
      </w:pPr>
      <w:r>
        <w:rPr>
          <w:rFonts w:ascii="Arial" w:cs="Arial" w:eastAsia="Arial" w:hAnsi="Arial"/>
          <w:sz w:val="18"/>
          <w:szCs w:val="18"/>
          <w:color w:val="202124"/>
        </w:rPr>
        <w:t>Return on Invested Capital (“ROIC”) is defined as after-tax operating profit (excluding rent) divided by average invested capital (which includes a factor to capitalize operating leases).</w:t>
      </w:r>
    </w:p>
    <w:p>
      <w:pPr>
        <w:spacing w:after="0" w:line="126" w:lineRule="exact"/>
        <w:rPr>
          <w:rFonts w:ascii="Times New Roman" w:cs="Times New Roman" w:eastAsia="Times New Roman" w:hAnsi="Times New Roman"/>
          <w:sz w:val="18"/>
          <w:szCs w:val="18"/>
          <w:color w:val="F37F00"/>
        </w:rPr>
      </w:pPr>
    </w:p>
    <w:p>
      <w:pPr>
        <w:ind w:left="1320" w:right="320" w:hanging="325"/>
        <w:spacing w:after="0" w:line="270" w:lineRule="auto"/>
        <w:tabs>
          <w:tab w:leader="none" w:pos="1320" w:val="left"/>
        </w:tabs>
        <w:numPr>
          <w:ilvl w:val="0"/>
          <w:numId w:val="83"/>
        </w:numPr>
        <w:rPr>
          <w:rFonts w:ascii="Times New Roman" w:cs="Times New Roman" w:eastAsia="Times New Roman" w:hAnsi="Times New Roman"/>
          <w:sz w:val="18"/>
          <w:szCs w:val="18"/>
          <w:color w:val="F37F00"/>
        </w:rPr>
      </w:pPr>
      <w:r>
        <w:rPr>
          <w:rFonts w:ascii="Arial" w:cs="Arial" w:eastAsia="Arial" w:hAnsi="Arial"/>
          <w:sz w:val="18"/>
          <w:szCs w:val="18"/>
          <w:color w:val="202124"/>
        </w:rPr>
        <w:t>Economic Profit is calculated as net operating profit (including rent) after taxes, less the cost of capital using a capital charge rate of 10.5%.</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Additionally, the Payout Matrix is further adjusted to ensure the annual incentive plan embodies our Guiding Principles—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202124"/>
        </w:rPr>
        <w:t>Drive Performance, Drive Retention and Drive Shareholder Value</w:t>
      </w:r>
      <w:r>
        <w:rPr>
          <w:rFonts w:ascii="Arial" w:cs="Arial" w:eastAsia="Arial" w:hAnsi="Arial"/>
          <w:sz w:val="18"/>
          <w:szCs w:val="18"/>
          <w:color w:val="202124"/>
        </w:rPr>
        <w:t>. These adjustments to the matrix serve as “guardrails”</w:t>
      </w:r>
    </w:p>
    <w:p>
      <w:pPr>
        <w:ind w:left="640"/>
        <w:spacing w:after="0"/>
        <w:rPr>
          <w:sz w:val="20"/>
          <w:szCs w:val="20"/>
          <w:color w:val="auto"/>
        </w:rPr>
      </w:pPr>
      <w:r>
        <w:rPr>
          <w:rFonts w:ascii="Arial" w:cs="Arial" w:eastAsia="Arial" w:hAnsi="Arial"/>
          <w:sz w:val="18"/>
          <w:szCs w:val="18"/>
          <w:color w:val="202124"/>
        </w:rPr>
        <w:t>and are described below.</w:t>
      </w:r>
    </w:p>
    <w:p>
      <w:pPr>
        <w:spacing w:after="0" w:line="153" w:lineRule="exact"/>
        <w:rPr>
          <w:sz w:val="20"/>
          <w:szCs w:val="20"/>
          <w:color w:val="auto"/>
        </w:rPr>
      </w:pPr>
    </w:p>
    <w:p>
      <w:pPr>
        <w:ind w:left="1320" w:right="160" w:hanging="325"/>
        <w:spacing w:after="0" w:line="236" w:lineRule="auto"/>
        <w:tabs>
          <w:tab w:leader="none" w:pos="1320" w:val="left"/>
        </w:tabs>
        <w:numPr>
          <w:ilvl w:val="0"/>
          <w:numId w:val="84"/>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Performance Hurdle.</w:t>
      </w:r>
      <w:r>
        <w:rPr>
          <w:rFonts w:ascii="Arial" w:cs="Arial" w:eastAsia="Arial" w:hAnsi="Arial"/>
          <w:sz w:val="18"/>
          <w:szCs w:val="18"/>
          <w:color w:val="202124"/>
        </w:rPr>
        <w:t xml:space="preserve"> The annual incentive plan is subject to a pre-established threshold or hurdle such that no annual incentive awards are paid out unless the Company achieves 90% of target Economic Profit. If the Company achieves 90% of target Economic Profit, payout is 50% of target MIP opportunity. Achievement above 50% is paid by reference to the matrix. We believe this ensures goals are appropriately rigorous to drive performance.</w:t>
      </w:r>
    </w:p>
    <w:p>
      <w:pPr>
        <w:spacing w:after="0" w:line="142" w:lineRule="exact"/>
        <w:rPr>
          <w:rFonts w:ascii="Times New Roman" w:cs="Times New Roman" w:eastAsia="Times New Roman" w:hAnsi="Times New Roman"/>
          <w:sz w:val="18"/>
          <w:szCs w:val="18"/>
          <w:color w:val="F37F00"/>
        </w:rPr>
      </w:pPr>
    </w:p>
    <w:p>
      <w:pPr>
        <w:ind w:left="1320" w:right="120" w:hanging="325"/>
        <w:spacing w:after="0" w:line="236" w:lineRule="auto"/>
        <w:tabs>
          <w:tab w:leader="none" w:pos="1320" w:val="left"/>
        </w:tabs>
        <w:numPr>
          <w:ilvl w:val="0"/>
          <w:numId w:val="84"/>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Emphasize EBIT Growth</w:t>
      </w:r>
      <w:r>
        <w:rPr>
          <w:rFonts w:ascii="Arial" w:cs="Arial" w:eastAsia="Arial" w:hAnsi="Arial"/>
          <w:sz w:val="18"/>
          <w:szCs w:val="18"/>
          <w:color w:val="202124"/>
        </w:rPr>
        <w:t>. The matrix is also modified such that payout shall not exceed target (or 100%) unless the EBIT target is exceeded. In other words, exceeding the ROIC target alone will not be sufficient to result in an above-target payout. The rationale for this is that there must be “incremental EBIT” (or EBIT in excess of target EBIT) to fund the additional incentive payout. This ensures that any excess payout earned by, and paid to, management does not come at the expense of stockholders but rather is paid out of the additional profit dollars generated by management’s efforts.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Historically, the Compensation Committee has not made adjustments related to foreign exchange gains or losses related</w:t>
      </w:r>
    </w:p>
    <w:p>
      <w:pPr>
        <w:spacing w:after="0" w:line="14" w:lineRule="exact"/>
        <w:rPr>
          <w:sz w:val="20"/>
          <w:szCs w:val="20"/>
          <w:color w:val="auto"/>
        </w:rPr>
      </w:pPr>
    </w:p>
    <w:p>
      <w:pPr>
        <w:ind w:left="640" w:right="560"/>
        <w:spacing w:after="0"/>
        <w:rPr>
          <w:sz w:val="20"/>
          <w:szCs w:val="20"/>
          <w:color w:val="auto"/>
        </w:rPr>
      </w:pPr>
      <w:r>
        <w:rPr>
          <w:rFonts w:ascii="Arial" w:cs="Arial" w:eastAsia="Arial" w:hAnsi="Arial"/>
          <w:sz w:val="17"/>
          <w:szCs w:val="17"/>
          <w:color w:val="202124"/>
        </w:rPr>
        <w:t>to the calculation of performance under the MIP. The attainment calculation excluded the impact of foreign currency fluctuations above a threshold that reflects a level of international operational contribution. This approach ensures</w:t>
      </w:r>
    </w:p>
    <w:p>
      <w:pPr>
        <w:ind w:left="640"/>
        <w:spacing w:after="0" w:line="235" w:lineRule="auto"/>
        <w:rPr>
          <w:sz w:val="20"/>
          <w:szCs w:val="20"/>
          <w:color w:val="auto"/>
        </w:rPr>
      </w:pPr>
      <w:r>
        <w:rPr>
          <w:rFonts w:ascii="Arial" w:cs="Arial" w:eastAsia="Arial" w:hAnsi="Arial"/>
          <w:sz w:val="18"/>
          <w:szCs w:val="18"/>
          <w:color w:val="202124"/>
        </w:rPr>
        <w:t>alignment with the broader financial structure and recognizes the materiality of global earnings in overall performance</w:t>
      </w:r>
    </w:p>
    <w:p>
      <w:pPr>
        <w:ind w:left="640" w:right="60"/>
        <w:spacing w:after="0"/>
        <w:rPr>
          <w:sz w:val="20"/>
          <w:szCs w:val="20"/>
          <w:color w:val="auto"/>
        </w:rPr>
      </w:pPr>
      <w:r>
        <w:rPr>
          <w:rFonts w:ascii="Arial" w:cs="Arial" w:eastAsia="Arial" w:hAnsi="Arial"/>
          <w:sz w:val="17"/>
          <w:szCs w:val="17"/>
          <w:color w:val="202124"/>
        </w:rPr>
        <w:t>framework. The Compensation Committee has approved the FY26 MIP based upon last year’s exchange rate and will not consider an adjustment based on exchange rate fluctuations unless the impact is greater than 5% of International EBIT</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202124"/>
        </w:rPr>
        <w:t>which it has exceeded in each of the last two years – one favorably to management’s bonus and one unfavorably.</w:t>
      </w:r>
    </w:p>
    <w:p>
      <w:pPr>
        <w:spacing w:after="0" w:line="212"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FFFFFF"/>
        </w:rPr>
        <w:t>AutoZone FY26 Annual Incentive Plan Payout Matrix</w:t>
      </w:r>
    </w:p>
    <w:p>
      <w:pPr>
        <w:spacing w:after="0" w:line="39" w:lineRule="exact"/>
        <w:rPr>
          <w:sz w:val="20"/>
          <w:szCs w:val="20"/>
          <w:color w:val="auto"/>
        </w:rPr>
      </w:pPr>
    </w:p>
    <w:tbl>
      <w:tblPr>
        <w:tblLayout w:type="fixed"/>
        <w:tblInd w:w="640" w:type="dxa"/>
        <w:tblCellMar>
          <w:top w:w="0" w:type="dxa"/>
          <w:left w:w="0" w:type="dxa"/>
          <w:bottom w:w="0" w:type="dxa"/>
          <w:right w:w="0" w:type="dxa"/>
        </w:tblCellMar>
      </w:tblPr>
      <w:tr>
        <w:trPr>
          <w:trHeight w:val="155"/>
        </w:trPr>
        <w:tc>
          <w:tcPr>
            <w:tcW w:w="480" w:type="dxa"/>
            <w:vAlign w:val="bottom"/>
          </w:tcPr>
          <w:p>
            <w:pPr>
              <w:spacing w:after="0"/>
              <w:rPr>
                <w:sz w:val="20"/>
                <w:szCs w:val="20"/>
                <w:color w:val="auto"/>
              </w:rPr>
            </w:pPr>
            <w:r>
              <w:rPr>
                <w:rFonts w:ascii="Arial" w:cs="Arial" w:eastAsia="Arial" w:hAnsi="Arial"/>
                <w:sz w:val="13"/>
                <w:szCs w:val="13"/>
                <w:b w:val="1"/>
                <w:bCs w:val="1"/>
                <w:color w:val="FFFFFF"/>
              </w:rPr>
              <w:t>ROIC</w:t>
            </w:r>
          </w:p>
        </w:tc>
        <w:tc>
          <w:tcPr>
            <w:tcW w:w="220" w:type="dxa"/>
            <w:vAlign w:val="bottom"/>
            <w:shd w:val="clear" w:color="auto" w:fill="F2F2F2"/>
          </w:tcPr>
          <w:p>
            <w:pPr>
              <w:ind w:left="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center"/>
              <w:ind w:left="133"/>
              <w:spacing w:after="0"/>
              <w:rPr>
                <w:sz w:val="20"/>
                <w:szCs w:val="20"/>
                <w:color w:val="auto"/>
              </w:rPr>
            </w:pPr>
            <w:r>
              <w:rPr>
                <w:rFonts w:ascii="Arial" w:cs="Arial" w:eastAsia="Arial" w:hAnsi="Arial"/>
                <w:sz w:val="13"/>
                <w:szCs w:val="13"/>
                <w:b w:val="1"/>
                <w:bCs w:val="1"/>
                <w:color w:val="202124"/>
              </w:rPr>
              <w:t>EBIT</w:t>
            </w:r>
            <w:r>
              <w:rPr>
                <w:rFonts w:ascii="Arial" w:cs="Arial" w:eastAsia="Arial" w:hAnsi="Arial"/>
                <w:sz w:val="13"/>
                <w:szCs w:val="13"/>
                <w:color w:val="202124"/>
              </w:rPr>
              <w:t xml:space="preserve">​​​ </w:t>
            </w:r>
            <w:r>
              <w:rPr>
                <w:rFonts w:ascii="Arial" w:cs="Arial" w:eastAsia="Arial" w:hAnsi="Arial"/>
                <w:sz w:val="13"/>
                <w:szCs w:val="13"/>
                <w:b w:val="1"/>
                <w:bCs w:val="1"/>
                <w:color w:val="202124"/>
              </w:rPr>
              <w:t>$</w:t>
            </w:r>
          </w:p>
        </w:tc>
        <w:tc>
          <w:tcPr>
            <w:tcW w:w="66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02124"/>
              </w:rPr>
              <w:t>3,253.0</w:t>
            </w:r>
          </w:p>
        </w:tc>
        <w:tc>
          <w:tcPr>
            <w:tcW w:w="420" w:type="dxa"/>
            <w:vAlign w:val="bottom"/>
            <w:shd w:val="clear" w:color="auto" w:fill="F2F2F2"/>
          </w:tcPr>
          <w:p>
            <w:pPr>
              <w:jc w:val="right"/>
              <w:ind w:right="57"/>
              <w:spacing w:after="0"/>
              <w:rPr>
                <w:sz w:val="20"/>
                <w:szCs w:val="20"/>
                <w:color w:val="auto"/>
              </w:rPr>
            </w:pPr>
            <w:r>
              <w:rPr>
                <w:rFonts w:ascii="Arial" w:cs="Arial" w:eastAsia="Arial" w:hAnsi="Arial"/>
                <w:sz w:val="13"/>
                <w:szCs w:val="13"/>
                <w:color w:val="202124"/>
              </w:rPr>
              <w:t xml:space="preserve">​​​ </w:t>
            </w:r>
            <w:r>
              <w:rPr>
                <w:rFonts w:ascii="Arial" w:cs="Arial" w:eastAsia="Arial" w:hAnsi="Arial"/>
                <w:sz w:val="13"/>
                <w:szCs w:val="13"/>
                <w:b w:val="1"/>
                <w:bCs w:val="1"/>
                <w:color w:val="202124"/>
              </w:rPr>
              <w:t>$</w:t>
            </w:r>
          </w:p>
        </w:tc>
        <w:tc>
          <w:tcPr>
            <w:tcW w:w="1000" w:type="dxa"/>
            <w:vAlign w:val="bottom"/>
            <w:gridSpan w:val="2"/>
            <w:shd w:val="clear" w:color="auto" w:fill="F2F2F2"/>
          </w:tcPr>
          <w:p>
            <w:pPr>
              <w:jc w:val="right"/>
              <w:ind w:right="62"/>
              <w:spacing w:after="0"/>
              <w:rPr>
                <w:sz w:val="20"/>
                <w:szCs w:val="20"/>
                <w:color w:val="auto"/>
              </w:rPr>
            </w:pPr>
            <w:r>
              <w:rPr>
                <w:rFonts w:ascii="Arial" w:cs="Arial" w:eastAsia="Arial" w:hAnsi="Arial"/>
                <w:sz w:val="13"/>
                <w:szCs w:val="13"/>
                <w:b w:val="1"/>
                <w:bCs w:val="1"/>
                <w:color w:val="202124"/>
              </w:rPr>
              <w:t xml:space="preserve">3,444.3  </w:t>
            </w:r>
            <w:r>
              <w:rPr>
                <w:rFonts w:ascii="Arial" w:cs="Arial" w:eastAsia="Arial" w:hAnsi="Arial"/>
                <w:sz w:val="13"/>
                <w:szCs w:val="13"/>
                <w:color w:val="202124"/>
              </w:rPr>
              <w:t>​​​</w:t>
            </w:r>
            <w:r>
              <w:rPr>
                <w:rFonts w:ascii="Arial" w:cs="Arial" w:eastAsia="Arial" w:hAnsi="Arial"/>
                <w:sz w:val="13"/>
                <w:szCs w:val="13"/>
                <w:b w:val="1"/>
                <w:bCs w:val="1"/>
                <w:color w:val="202124"/>
              </w:rPr>
              <w:t xml:space="preserve"> $</w:t>
            </w:r>
          </w:p>
        </w:tc>
        <w:tc>
          <w:tcPr>
            <w:tcW w:w="1000" w:type="dxa"/>
            <w:vAlign w:val="bottom"/>
            <w:shd w:val="clear" w:color="auto" w:fill="F2F2F2"/>
          </w:tcPr>
          <w:p>
            <w:pPr>
              <w:jc w:val="right"/>
              <w:ind w:right="57"/>
              <w:spacing w:after="0"/>
              <w:rPr>
                <w:sz w:val="20"/>
                <w:szCs w:val="20"/>
                <w:color w:val="auto"/>
              </w:rPr>
            </w:pPr>
            <w:r>
              <w:rPr>
                <w:rFonts w:ascii="Arial" w:cs="Arial" w:eastAsia="Arial" w:hAnsi="Arial"/>
                <w:sz w:val="13"/>
                <w:szCs w:val="13"/>
                <w:b w:val="1"/>
                <w:bCs w:val="1"/>
                <w:color w:val="202124"/>
              </w:rPr>
              <w:t xml:space="preserve">3,635.7  </w:t>
            </w:r>
            <w:r>
              <w:rPr>
                <w:rFonts w:ascii="Arial" w:cs="Arial" w:eastAsia="Arial" w:hAnsi="Arial"/>
                <w:sz w:val="13"/>
                <w:szCs w:val="13"/>
                <w:color w:val="202124"/>
              </w:rPr>
              <w:t>​​​</w:t>
            </w:r>
            <w:r>
              <w:rPr>
                <w:rFonts w:ascii="Arial" w:cs="Arial" w:eastAsia="Arial" w:hAnsi="Arial"/>
                <w:sz w:val="13"/>
                <w:szCs w:val="13"/>
                <w:b w:val="1"/>
                <w:bCs w:val="1"/>
                <w:color w:val="202124"/>
              </w:rPr>
              <w:t xml:space="preserve"> $</w:t>
            </w:r>
          </w:p>
        </w:tc>
        <w:tc>
          <w:tcPr>
            <w:tcW w:w="1000" w:type="dxa"/>
            <w:vAlign w:val="bottom"/>
            <w:shd w:val="clear" w:color="auto" w:fill="F2F2F2"/>
          </w:tcPr>
          <w:p>
            <w:pPr>
              <w:jc w:val="right"/>
              <w:ind w:right="57"/>
              <w:spacing w:after="0"/>
              <w:rPr>
                <w:sz w:val="20"/>
                <w:szCs w:val="20"/>
                <w:color w:val="auto"/>
              </w:rPr>
            </w:pPr>
            <w:r>
              <w:rPr>
                <w:rFonts w:ascii="Arial" w:cs="Arial" w:eastAsia="Arial" w:hAnsi="Arial"/>
                <w:sz w:val="13"/>
                <w:szCs w:val="13"/>
                <w:b w:val="1"/>
                <w:bCs w:val="1"/>
                <w:color w:val="202124"/>
              </w:rPr>
              <w:t xml:space="preserve">3,827.0  </w:t>
            </w:r>
            <w:r>
              <w:rPr>
                <w:rFonts w:ascii="Arial" w:cs="Arial" w:eastAsia="Arial" w:hAnsi="Arial"/>
                <w:sz w:val="13"/>
                <w:szCs w:val="13"/>
                <w:color w:val="202124"/>
              </w:rPr>
              <w:t>​​​</w:t>
            </w:r>
            <w:r>
              <w:rPr>
                <w:rFonts w:ascii="Arial" w:cs="Arial" w:eastAsia="Arial" w:hAnsi="Arial"/>
                <w:sz w:val="13"/>
                <w:szCs w:val="13"/>
                <w:b w:val="1"/>
                <w:bCs w:val="1"/>
                <w:color w:val="202124"/>
              </w:rPr>
              <w:t xml:space="preserve"> $</w:t>
            </w:r>
          </w:p>
        </w:tc>
        <w:tc>
          <w:tcPr>
            <w:tcW w:w="1000" w:type="dxa"/>
            <w:vAlign w:val="bottom"/>
            <w:shd w:val="clear" w:color="auto" w:fill="F2F2F2"/>
          </w:tcPr>
          <w:p>
            <w:pPr>
              <w:jc w:val="right"/>
              <w:ind w:right="57"/>
              <w:spacing w:after="0"/>
              <w:rPr>
                <w:sz w:val="20"/>
                <w:szCs w:val="20"/>
                <w:color w:val="auto"/>
              </w:rPr>
            </w:pPr>
            <w:r>
              <w:rPr>
                <w:rFonts w:ascii="Arial" w:cs="Arial" w:eastAsia="Arial" w:hAnsi="Arial"/>
                <w:sz w:val="13"/>
                <w:szCs w:val="13"/>
                <w:b w:val="1"/>
                <w:bCs w:val="1"/>
                <w:color w:val="202124"/>
              </w:rPr>
              <w:t xml:space="preserve">3,865.3  </w:t>
            </w:r>
            <w:r>
              <w:rPr>
                <w:rFonts w:ascii="Arial" w:cs="Arial" w:eastAsia="Arial" w:hAnsi="Arial"/>
                <w:sz w:val="13"/>
                <w:szCs w:val="13"/>
                <w:color w:val="202124"/>
              </w:rPr>
              <w:t>​​​</w:t>
            </w:r>
            <w:r>
              <w:rPr>
                <w:rFonts w:ascii="Arial" w:cs="Arial" w:eastAsia="Arial" w:hAnsi="Arial"/>
                <w:sz w:val="13"/>
                <w:szCs w:val="13"/>
                <w:b w:val="1"/>
                <w:bCs w:val="1"/>
                <w:color w:val="202124"/>
              </w:rPr>
              <w:t xml:space="preserve"> $</w:t>
            </w:r>
          </w:p>
        </w:tc>
        <w:tc>
          <w:tcPr>
            <w:tcW w:w="1000" w:type="dxa"/>
            <w:vAlign w:val="bottom"/>
            <w:shd w:val="clear" w:color="auto" w:fill="F2F2F2"/>
          </w:tcPr>
          <w:p>
            <w:pPr>
              <w:jc w:val="right"/>
              <w:ind w:right="57"/>
              <w:spacing w:after="0"/>
              <w:rPr>
                <w:sz w:val="20"/>
                <w:szCs w:val="20"/>
                <w:color w:val="auto"/>
              </w:rPr>
            </w:pPr>
            <w:r>
              <w:rPr>
                <w:rFonts w:ascii="Arial" w:cs="Arial" w:eastAsia="Arial" w:hAnsi="Arial"/>
                <w:sz w:val="13"/>
                <w:szCs w:val="13"/>
                <w:b w:val="1"/>
                <w:bCs w:val="1"/>
                <w:color w:val="202124"/>
              </w:rPr>
              <w:t xml:space="preserve">4,018.4  </w:t>
            </w:r>
            <w:r>
              <w:rPr>
                <w:rFonts w:ascii="Arial" w:cs="Arial" w:eastAsia="Arial" w:hAnsi="Arial"/>
                <w:sz w:val="13"/>
                <w:szCs w:val="13"/>
                <w:color w:val="202124"/>
              </w:rPr>
              <w:t>​​​</w:t>
            </w:r>
            <w:r>
              <w:rPr>
                <w:rFonts w:ascii="Arial" w:cs="Arial" w:eastAsia="Arial" w:hAnsi="Arial"/>
                <w:sz w:val="13"/>
                <w:szCs w:val="13"/>
                <w:b w:val="1"/>
                <w:bCs w:val="1"/>
                <w:color w:val="202124"/>
              </w:rPr>
              <w:t xml:space="preserve"> $</w:t>
            </w:r>
          </w:p>
        </w:tc>
        <w:tc>
          <w:tcPr>
            <w:tcW w:w="10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02124"/>
              </w:rPr>
              <w:t xml:space="preserve">4,209.7  </w:t>
            </w:r>
            <w:r>
              <w:rPr>
                <w:rFonts w:ascii="Arial" w:cs="Arial" w:eastAsia="Arial" w:hAnsi="Arial"/>
                <w:sz w:val="13"/>
                <w:szCs w:val="13"/>
                <w:color w:val="202124"/>
              </w:rPr>
              <w:t>​​​</w:t>
            </w:r>
            <w:r>
              <w:rPr>
                <w:rFonts w:ascii="Arial" w:cs="Arial" w:eastAsia="Arial" w:hAnsi="Arial"/>
                <w:sz w:val="13"/>
                <w:szCs w:val="13"/>
                <w:b w:val="1"/>
                <w:bCs w:val="1"/>
                <w:color w:val="202124"/>
              </w:rPr>
              <w:t xml:space="preserve"> $</w:t>
            </w:r>
          </w:p>
        </w:tc>
        <w:tc>
          <w:tcPr>
            <w:tcW w:w="760" w:type="dxa"/>
            <w:vAlign w:val="bottom"/>
            <w:shd w:val="clear" w:color="auto" w:fill="F2F2F2"/>
          </w:tcPr>
          <w:p>
            <w:pPr>
              <w:jc w:val="right"/>
              <w:ind w:right="157"/>
              <w:spacing w:after="0"/>
              <w:rPr>
                <w:sz w:val="20"/>
                <w:szCs w:val="20"/>
                <w:color w:val="auto"/>
              </w:rPr>
            </w:pPr>
            <w:r>
              <w:rPr>
                <w:rFonts w:ascii="Arial" w:cs="Arial" w:eastAsia="Arial" w:hAnsi="Arial"/>
                <w:sz w:val="13"/>
                <w:szCs w:val="13"/>
                <w:b w:val="1"/>
                <w:bCs w:val="1"/>
                <w:color w:val="202124"/>
              </w:rPr>
              <w:t>4,401.1</w:t>
            </w:r>
          </w:p>
        </w:tc>
      </w:tr>
      <w:tr>
        <w:trPr>
          <w:trHeight w:val="149"/>
        </w:trPr>
        <w:tc>
          <w:tcPr>
            <w:tcW w:w="480" w:type="dxa"/>
            <w:vAlign w:val="bottom"/>
          </w:tcPr>
          <w:p>
            <w:pPr>
              <w:spacing w:after="0"/>
              <w:rPr>
                <w:sz w:val="12"/>
                <w:szCs w:val="12"/>
                <w:color w:val="auto"/>
              </w:rPr>
            </w:pPr>
          </w:p>
        </w:tc>
        <w:tc>
          <w:tcPr>
            <w:tcW w:w="220" w:type="dxa"/>
            <w:vAlign w:val="bottom"/>
            <w:tcBorders>
              <w:bottom w:val="single" w:sz="8" w:color="808080"/>
            </w:tcBorders>
            <w:shd w:val="clear" w:color="auto" w:fill="F2F2F2"/>
          </w:tcPr>
          <w:p>
            <w:pPr>
              <w:spacing w:after="0"/>
              <w:rPr>
                <w:sz w:val="12"/>
                <w:szCs w:val="12"/>
                <w:color w:val="auto"/>
              </w:rPr>
            </w:pPr>
          </w:p>
        </w:tc>
        <w:tc>
          <w:tcPr>
            <w:tcW w:w="1180" w:type="dxa"/>
            <w:vAlign w:val="bottom"/>
            <w:tcBorders>
              <w:bottom w:val="single" w:sz="8" w:color="808080"/>
            </w:tcBorders>
            <w:shd w:val="clear" w:color="auto" w:fill="F2F2F2"/>
          </w:tcPr>
          <w:p>
            <w:pPr>
              <w:ind w:left="220"/>
              <w:spacing w:after="0"/>
              <w:rPr>
                <w:sz w:val="20"/>
                <w:szCs w:val="20"/>
                <w:color w:val="auto"/>
              </w:rPr>
            </w:pPr>
            <w:r>
              <w:rPr>
                <w:rFonts w:ascii="Arial" w:cs="Arial" w:eastAsia="Arial" w:hAnsi="Arial"/>
                <w:sz w:val="13"/>
                <w:szCs w:val="13"/>
                <w:b w:val="1"/>
                <w:bCs w:val="1"/>
                <w:color w:val="202124"/>
              </w:rPr>
              <w:t>(MMs)</w:t>
            </w:r>
          </w:p>
        </w:tc>
        <w:tc>
          <w:tcPr>
            <w:tcW w:w="1080" w:type="dxa"/>
            <w:vAlign w:val="bottom"/>
            <w:tcBorders>
              <w:bottom w:val="single" w:sz="8" w:color="808080"/>
            </w:tcBorders>
            <w:gridSpan w:val="2"/>
            <w:shd w:val="clear" w:color="auto" w:fill="F2F2F2"/>
          </w:tcPr>
          <w:p>
            <w:pPr>
              <w:jc w:val="right"/>
              <w:ind w:right="237"/>
              <w:spacing w:after="0"/>
              <w:rPr>
                <w:sz w:val="20"/>
                <w:szCs w:val="20"/>
                <w:color w:val="auto"/>
              </w:rPr>
            </w:pPr>
            <w:r>
              <w:rPr>
                <w:rFonts w:ascii="Arial" w:cs="Arial" w:eastAsia="Arial" w:hAnsi="Arial"/>
                <w:sz w:val="13"/>
                <w:szCs w:val="13"/>
                <w:b w:val="1"/>
                <w:bCs w:val="1"/>
                <w:color w:val="202124"/>
              </w:rPr>
              <w:t>85 %</w:t>
            </w:r>
          </w:p>
        </w:tc>
        <w:tc>
          <w:tcPr>
            <w:tcW w:w="1000" w:type="dxa"/>
            <w:vAlign w:val="bottom"/>
            <w:tcBorders>
              <w:bottom w:val="single" w:sz="8" w:color="808080"/>
            </w:tcBorders>
            <w:gridSpan w:val="2"/>
            <w:shd w:val="clear" w:color="auto" w:fill="F2F2F2"/>
          </w:tcPr>
          <w:p>
            <w:pPr>
              <w:jc w:val="right"/>
              <w:ind w:right="242"/>
              <w:spacing w:after="0"/>
              <w:rPr>
                <w:sz w:val="20"/>
                <w:szCs w:val="20"/>
                <w:color w:val="auto"/>
              </w:rPr>
            </w:pPr>
            <w:r>
              <w:rPr>
                <w:rFonts w:ascii="Arial" w:cs="Arial" w:eastAsia="Arial" w:hAnsi="Arial"/>
                <w:sz w:val="13"/>
                <w:szCs w:val="13"/>
                <w:b w:val="1"/>
                <w:bCs w:val="1"/>
                <w:color w:val="202124"/>
              </w:rPr>
              <w:t>90 %</w:t>
            </w:r>
          </w:p>
        </w:tc>
        <w:tc>
          <w:tcPr>
            <w:tcW w:w="1000" w:type="dxa"/>
            <w:vAlign w:val="bottom"/>
            <w:tcBorders>
              <w:bottom w:val="single" w:sz="8" w:color="808080"/>
            </w:tcBorders>
            <w:shd w:val="clear" w:color="auto" w:fill="F2F2F2"/>
          </w:tcPr>
          <w:p>
            <w:pPr>
              <w:jc w:val="right"/>
              <w:ind w:right="237"/>
              <w:spacing w:after="0"/>
              <w:rPr>
                <w:sz w:val="20"/>
                <w:szCs w:val="20"/>
                <w:color w:val="auto"/>
              </w:rPr>
            </w:pPr>
            <w:r>
              <w:rPr>
                <w:rFonts w:ascii="Arial" w:cs="Arial" w:eastAsia="Arial" w:hAnsi="Arial"/>
                <w:sz w:val="13"/>
                <w:szCs w:val="13"/>
                <w:b w:val="1"/>
                <w:bCs w:val="1"/>
                <w:color w:val="202124"/>
              </w:rPr>
              <w:t>95 %</w:t>
            </w:r>
          </w:p>
        </w:tc>
        <w:tc>
          <w:tcPr>
            <w:tcW w:w="1000" w:type="dxa"/>
            <w:vAlign w:val="bottom"/>
            <w:tcBorders>
              <w:bottom w:val="single" w:sz="8" w:color="808080"/>
            </w:tcBorders>
            <w:shd w:val="clear" w:color="auto" w:fill="F2F2F2"/>
          </w:tcPr>
          <w:p>
            <w:pPr>
              <w:jc w:val="right"/>
              <w:ind w:right="237"/>
              <w:spacing w:after="0"/>
              <w:rPr>
                <w:sz w:val="20"/>
                <w:szCs w:val="20"/>
                <w:color w:val="auto"/>
              </w:rPr>
            </w:pPr>
            <w:r>
              <w:rPr>
                <w:rFonts w:ascii="Arial" w:cs="Arial" w:eastAsia="Arial" w:hAnsi="Arial"/>
                <w:sz w:val="13"/>
                <w:szCs w:val="13"/>
                <w:b w:val="1"/>
                <w:bCs w:val="1"/>
                <w:color w:val="202124"/>
              </w:rPr>
              <w:t>100 %</w:t>
            </w:r>
          </w:p>
        </w:tc>
        <w:tc>
          <w:tcPr>
            <w:tcW w:w="1000" w:type="dxa"/>
            <w:vAlign w:val="bottom"/>
            <w:tcBorders>
              <w:bottom w:val="single" w:sz="8" w:color="808080"/>
            </w:tcBorders>
            <w:shd w:val="clear" w:color="auto" w:fill="F2F2F2"/>
          </w:tcPr>
          <w:p>
            <w:pPr>
              <w:jc w:val="right"/>
              <w:ind w:right="237"/>
              <w:spacing w:after="0"/>
              <w:rPr>
                <w:sz w:val="20"/>
                <w:szCs w:val="20"/>
                <w:color w:val="auto"/>
              </w:rPr>
            </w:pPr>
            <w:r>
              <w:rPr>
                <w:rFonts w:ascii="Arial" w:cs="Arial" w:eastAsia="Arial" w:hAnsi="Arial"/>
                <w:sz w:val="13"/>
                <w:szCs w:val="13"/>
                <w:b w:val="1"/>
                <w:bCs w:val="1"/>
                <w:color w:val="202124"/>
              </w:rPr>
              <w:t>101 %</w:t>
            </w:r>
          </w:p>
        </w:tc>
        <w:tc>
          <w:tcPr>
            <w:tcW w:w="1000" w:type="dxa"/>
            <w:vAlign w:val="bottom"/>
            <w:tcBorders>
              <w:bottom w:val="single" w:sz="8" w:color="808080"/>
            </w:tcBorders>
            <w:shd w:val="clear" w:color="auto" w:fill="F2F2F2"/>
          </w:tcPr>
          <w:p>
            <w:pPr>
              <w:jc w:val="right"/>
              <w:ind w:right="237"/>
              <w:spacing w:after="0"/>
              <w:rPr>
                <w:sz w:val="20"/>
                <w:szCs w:val="20"/>
                <w:color w:val="auto"/>
              </w:rPr>
            </w:pPr>
            <w:r>
              <w:rPr>
                <w:rFonts w:ascii="Arial" w:cs="Arial" w:eastAsia="Arial" w:hAnsi="Arial"/>
                <w:sz w:val="13"/>
                <w:szCs w:val="13"/>
                <w:b w:val="1"/>
                <w:bCs w:val="1"/>
                <w:color w:val="202124"/>
              </w:rPr>
              <w:t>105 %</w:t>
            </w:r>
          </w:p>
        </w:tc>
        <w:tc>
          <w:tcPr>
            <w:tcW w:w="1000" w:type="dxa"/>
            <w:vAlign w:val="bottom"/>
            <w:tcBorders>
              <w:bottom w:val="single" w:sz="8" w:color="808080"/>
            </w:tcBorders>
            <w:shd w:val="clear" w:color="auto" w:fill="F2F2F2"/>
          </w:tcPr>
          <w:p>
            <w:pPr>
              <w:jc w:val="center"/>
              <w:spacing w:after="0"/>
              <w:rPr>
                <w:sz w:val="20"/>
                <w:szCs w:val="20"/>
                <w:color w:val="auto"/>
              </w:rPr>
            </w:pPr>
            <w:r>
              <w:rPr>
                <w:rFonts w:ascii="Arial" w:cs="Arial" w:eastAsia="Arial" w:hAnsi="Arial"/>
                <w:sz w:val="13"/>
                <w:szCs w:val="13"/>
                <w:b w:val="1"/>
                <w:bCs w:val="1"/>
                <w:color w:val="202124"/>
                <w:w w:val="97"/>
              </w:rPr>
              <w:t>110 %</w:t>
            </w:r>
          </w:p>
        </w:tc>
        <w:tc>
          <w:tcPr>
            <w:tcW w:w="760" w:type="dxa"/>
            <w:vAlign w:val="bottom"/>
            <w:tcBorders>
              <w:bottom w:val="single" w:sz="8" w:color="808080"/>
            </w:tcBorders>
            <w:shd w:val="clear" w:color="auto" w:fill="F2F2F2"/>
          </w:tcPr>
          <w:p>
            <w:pPr>
              <w:jc w:val="right"/>
              <w:spacing w:after="0"/>
              <w:rPr>
                <w:sz w:val="20"/>
                <w:szCs w:val="20"/>
                <w:color w:val="auto"/>
              </w:rPr>
            </w:pPr>
            <w:r>
              <w:rPr>
                <w:rFonts w:ascii="Arial" w:cs="Arial" w:eastAsia="Arial" w:hAnsi="Arial"/>
                <w:sz w:val="13"/>
                <w:szCs w:val="13"/>
                <w:b w:val="1"/>
                <w:bCs w:val="1"/>
                <w:color w:val="202124"/>
              </w:rPr>
              <w:t>115 %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35.16 %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shd w:val="clear" w:color="auto" w:fill="BFBFBF"/>
          </w:tcPr>
          <w:p>
            <w:pPr>
              <w:spacing w:after="0"/>
              <w:rPr>
                <w:sz w:val="13"/>
                <w:szCs w:val="13"/>
                <w:color w:val="auto"/>
              </w:rPr>
            </w:pPr>
          </w:p>
        </w:tc>
        <w:tc>
          <w:tcPr>
            <w:tcW w:w="60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00" w:type="dxa"/>
            <w:vAlign w:val="bottom"/>
            <w:tcBorders>
              <w:bottom w:val="single" w:sz="8" w:color="808080"/>
            </w:tcBorders>
          </w:tcPr>
          <w:p>
            <w:pPr>
              <w:jc w:val="right"/>
              <w:ind w:right="242"/>
              <w:spacing w:after="0"/>
              <w:rPr>
                <w:sz w:val="20"/>
                <w:szCs w:val="20"/>
                <w:color w:val="auto"/>
              </w:rPr>
            </w:pPr>
            <w:r>
              <w:rPr>
                <w:rFonts w:ascii="Arial" w:cs="Arial" w:eastAsia="Arial" w:hAnsi="Arial"/>
                <w:sz w:val="12"/>
                <w:szCs w:val="12"/>
                <w:color w:val="202124"/>
                <w:w w:val="74"/>
              </w:rPr>
              <w:t>%</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67 %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89 %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93 %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110 %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132 %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154 %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35.66 %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shd w:val="clear" w:color="auto" w:fill="BFBFBF"/>
          </w:tcPr>
          <w:p>
            <w:pPr>
              <w:spacing w:after="0"/>
              <w:rPr>
                <w:sz w:val="13"/>
                <w:szCs w:val="13"/>
                <w:color w:val="auto"/>
              </w:rPr>
            </w:pPr>
          </w:p>
        </w:tc>
        <w:tc>
          <w:tcPr>
            <w:tcW w:w="60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00" w:type="dxa"/>
            <w:vAlign w:val="bottom"/>
            <w:tcBorders>
              <w:bottom w:val="single" w:sz="8" w:color="808080"/>
            </w:tcBorders>
          </w:tcPr>
          <w:p>
            <w:pPr>
              <w:jc w:val="right"/>
              <w:ind w:right="242"/>
              <w:spacing w:after="0"/>
              <w:rPr>
                <w:sz w:val="20"/>
                <w:szCs w:val="20"/>
                <w:color w:val="auto"/>
              </w:rPr>
            </w:pPr>
            <w:r>
              <w:rPr>
                <w:rFonts w:ascii="Arial" w:cs="Arial" w:eastAsia="Arial" w:hAnsi="Arial"/>
                <w:sz w:val="12"/>
                <w:szCs w:val="12"/>
                <w:color w:val="202124"/>
                <w:w w:val="74"/>
              </w:rPr>
              <w:t>%</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70 %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92 %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96 %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114 %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135 %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157 %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36.16 %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51 %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73 %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99 %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116 %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138 %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160 %</w:t>
            </w:r>
          </w:p>
        </w:tc>
      </w:tr>
      <w:tr>
        <w:trPr>
          <w:trHeight w:val="156"/>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36.66 %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53 %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75 %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97 %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102 %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119 %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141 %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163 %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37.16 %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56 %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78 %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104 %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122 %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144 %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166 %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37.66 %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58 %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80 %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107 %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125 %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147 %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169 %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38.16 %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60 %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83 %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128 %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150 %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172 %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38.66 %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63 %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85 %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112 %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130 %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153 %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175 %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39.16 %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65 %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87 %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114 %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133 %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155 %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178 %</w:t>
            </w:r>
          </w:p>
        </w:tc>
      </w:tr>
      <w:tr>
        <w:trPr>
          <w:trHeight w:val="156"/>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39.66 %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67 %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135 %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158 %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180 %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40.16 %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69 %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92 %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137 %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160 %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183 %</w:t>
            </w:r>
          </w:p>
        </w:tc>
      </w:tr>
      <w:tr>
        <w:trPr>
          <w:trHeight w:val="155"/>
        </w:trPr>
        <w:tc>
          <w:tcPr>
            <w:tcW w:w="480" w:type="dxa"/>
            <w:vAlign w:val="bottom"/>
          </w:tcPr>
          <w:p>
            <w:pPr>
              <w:spacing w:after="0"/>
              <w:rPr>
                <w:sz w:val="13"/>
                <w:szCs w:val="13"/>
                <w:color w:val="auto"/>
              </w:rPr>
            </w:pPr>
          </w:p>
        </w:tc>
        <w:tc>
          <w:tcPr>
            <w:tcW w:w="1400" w:type="dxa"/>
            <w:vAlign w:val="bottom"/>
            <w:tcBorders>
              <w:bottom w:val="single" w:sz="8" w:color="808080"/>
            </w:tcBorders>
            <w:gridSpan w:val="2"/>
          </w:tcPr>
          <w:p>
            <w:pPr>
              <w:jc w:val="center"/>
              <w:ind w:left="337"/>
              <w:spacing w:after="0"/>
              <w:rPr>
                <w:sz w:val="20"/>
                <w:szCs w:val="20"/>
                <w:color w:val="auto"/>
              </w:rPr>
            </w:pPr>
            <w:r>
              <w:rPr>
                <w:rFonts w:ascii="Arial" w:cs="Arial" w:eastAsia="Arial" w:hAnsi="Arial"/>
                <w:sz w:val="13"/>
                <w:szCs w:val="13"/>
                <w:color w:val="202124"/>
              </w:rPr>
              <w:t>40.66 %</w:t>
            </w:r>
          </w:p>
        </w:tc>
        <w:tc>
          <w:tcPr>
            <w:tcW w:w="660" w:type="dxa"/>
            <w:vAlign w:val="bottom"/>
            <w:tcBorders>
              <w:bottom w:val="single" w:sz="8" w:color="808080"/>
            </w:tcBorders>
            <w:shd w:val="clear" w:color="auto" w:fill="BFBFBF"/>
          </w:tcPr>
          <w:p>
            <w:pPr>
              <w:jc w:val="right"/>
              <w:spacing w:after="0"/>
              <w:rPr>
                <w:sz w:val="20"/>
                <w:szCs w:val="20"/>
                <w:color w:val="auto"/>
              </w:rPr>
            </w:pPr>
            <w:r>
              <w:rPr>
                <w:rFonts w:ascii="Arial" w:cs="Arial" w:eastAsia="Arial" w:hAnsi="Arial"/>
                <w:sz w:val="13"/>
                <w:szCs w:val="13"/>
                <w:color w:val="202124"/>
              </w:rPr>
              <w:t>—</w:t>
            </w:r>
          </w:p>
        </w:tc>
        <w:tc>
          <w:tcPr>
            <w:tcW w:w="4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jc w:val="right"/>
              <w:ind w:right="242"/>
              <w:spacing w:after="0"/>
              <w:rPr>
                <w:sz w:val="20"/>
                <w:szCs w:val="20"/>
                <w:color w:val="auto"/>
              </w:rPr>
            </w:pPr>
            <w:r>
              <w:rPr>
                <w:rFonts w:ascii="Arial" w:cs="Arial" w:eastAsia="Arial" w:hAnsi="Arial"/>
                <w:sz w:val="13"/>
                <w:szCs w:val="13"/>
                <w:color w:val="202124"/>
              </w:rPr>
              <w:t>71 %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94 %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115 %</w:t>
            </w:r>
          </w:p>
        </w:tc>
        <w:tc>
          <w:tcPr>
            <w:tcW w:w="1000" w:type="dxa"/>
            <w:vAlign w:val="bottom"/>
            <w:tcBorders>
              <w:bottom w:val="single" w:sz="8" w:color="808080"/>
            </w:tcBorders>
          </w:tcPr>
          <w:p>
            <w:pPr>
              <w:jc w:val="right"/>
              <w:ind w:right="237"/>
              <w:spacing w:after="0"/>
              <w:rPr>
                <w:sz w:val="20"/>
                <w:szCs w:val="20"/>
                <w:color w:val="auto"/>
              </w:rPr>
            </w:pPr>
            <w:r>
              <w:rPr>
                <w:rFonts w:ascii="Arial" w:cs="Arial" w:eastAsia="Arial" w:hAnsi="Arial"/>
                <w:sz w:val="13"/>
                <w:szCs w:val="13"/>
                <w:color w:val="202124"/>
              </w:rPr>
              <w:t>140 %</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202124"/>
                <w:w w:val="97"/>
              </w:rPr>
              <w:t>163 %</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186 %</w:t>
            </w:r>
          </w:p>
        </w:tc>
      </w:tr>
      <w:tr>
        <w:trPr>
          <w:trHeight w:val="168"/>
        </w:trPr>
        <w:tc>
          <w:tcPr>
            <w:tcW w:w="1880" w:type="dxa"/>
            <w:vAlign w:val="bottom"/>
            <w:gridSpan w:val="3"/>
          </w:tcPr>
          <w:p>
            <w:pPr>
              <w:jc w:val="center"/>
              <w:ind w:left="817"/>
              <w:spacing w:after="0"/>
              <w:rPr>
                <w:sz w:val="20"/>
                <w:szCs w:val="20"/>
                <w:color w:val="auto"/>
              </w:rPr>
            </w:pPr>
            <w:r>
              <w:rPr>
                <w:rFonts w:ascii="Arial" w:cs="Arial" w:eastAsia="Arial" w:hAnsi="Arial"/>
                <w:sz w:val="13"/>
                <w:szCs w:val="13"/>
                <w:color w:val="202124"/>
              </w:rPr>
              <w:t>41.16 %</w:t>
            </w:r>
          </w:p>
        </w:tc>
        <w:tc>
          <w:tcPr>
            <w:tcW w:w="1080" w:type="dxa"/>
            <w:vAlign w:val="bottom"/>
            <w:gridSpan w:val="2"/>
          </w:tcPr>
          <w:p>
            <w:pPr>
              <w:jc w:val="right"/>
              <w:ind w:right="237"/>
              <w:spacing w:after="0"/>
              <w:rPr>
                <w:sz w:val="20"/>
                <w:szCs w:val="20"/>
                <w:color w:val="auto"/>
              </w:rPr>
            </w:pPr>
            <w:r>
              <w:rPr>
                <w:rFonts w:ascii="Arial" w:cs="Arial" w:eastAsia="Arial" w:hAnsi="Arial"/>
                <w:sz w:val="13"/>
                <w:szCs w:val="13"/>
                <w:color w:val="202124"/>
              </w:rPr>
              <w:t>50 %</w:t>
            </w:r>
          </w:p>
        </w:tc>
        <w:tc>
          <w:tcPr>
            <w:tcW w:w="1000" w:type="dxa"/>
            <w:vAlign w:val="bottom"/>
            <w:gridSpan w:val="2"/>
          </w:tcPr>
          <w:p>
            <w:pPr>
              <w:jc w:val="right"/>
              <w:ind w:right="242"/>
              <w:spacing w:after="0"/>
              <w:rPr>
                <w:sz w:val="20"/>
                <w:szCs w:val="20"/>
                <w:color w:val="auto"/>
              </w:rPr>
            </w:pPr>
            <w:r>
              <w:rPr>
                <w:rFonts w:ascii="Arial" w:cs="Arial" w:eastAsia="Arial" w:hAnsi="Arial"/>
                <w:sz w:val="13"/>
                <w:szCs w:val="13"/>
                <w:color w:val="202124"/>
              </w:rPr>
              <w:t>73 %</w:t>
            </w:r>
          </w:p>
        </w:tc>
        <w:tc>
          <w:tcPr>
            <w:tcW w:w="1000" w:type="dxa"/>
            <w:vAlign w:val="bottom"/>
          </w:tcPr>
          <w:p>
            <w:pPr>
              <w:jc w:val="right"/>
              <w:ind w:right="237"/>
              <w:spacing w:after="0"/>
              <w:rPr>
                <w:sz w:val="20"/>
                <w:szCs w:val="20"/>
                <w:color w:val="auto"/>
              </w:rPr>
            </w:pPr>
            <w:r>
              <w:rPr>
                <w:rFonts w:ascii="Arial" w:cs="Arial" w:eastAsia="Arial" w:hAnsi="Arial"/>
                <w:sz w:val="13"/>
                <w:szCs w:val="13"/>
                <w:color w:val="202124"/>
              </w:rPr>
              <w:t>96 %</w:t>
            </w:r>
          </w:p>
        </w:tc>
        <w:tc>
          <w:tcPr>
            <w:tcW w:w="1000" w:type="dxa"/>
            <w:vAlign w:val="bottom"/>
          </w:tcPr>
          <w:p>
            <w:pPr>
              <w:jc w:val="right"/>
              <w:ind w:right="237"/>
              <w:spacing w:after="0"/>
              <w:rPr>
                <w:sz w:val="20"/>
                <w:szCs w:val="20"/>
                <w:color w:val="auto"/>
              </w:rPr>
            </w:pPr>
            <w:r>
              <w:rPr>
                <w:rFonts w:ascii="Arial" w:cs="Arial" w:eastAsia="Arial" w:hAnsi="Arial"/>
                <w:sz w:val="13"/>
                <w:szCs w:val="13"/>
                <w:color w:val="202124"/>
              </w:rPr>
              <w:t>100 %</w:t>
            </w:r>
          </w:p>
        </w:tc>
        <w:tc>
          <w:tcPr>
            <w:tcW w:w="1000" w:type="dxa"/>
            <w:vAlign w:val="bottom"/>
          </w:tcPr>
          <w:p>
            <w:pPr>
              <w:jc w:val="right"/>
              <w:ind w:right="237"/>
              <w:spacing w:after="0"/>
              <w:rPr>
                <w:sz w:val="20"/>
                <w:szCs w:val="20"/>
                <w:color w:val="auto"/>
              </w:rPr>
            </w:pPr>
            <w:r>
              <w:rPr>
                <w:rFonts w:ascii="Arial" w:cs="Arial" w:eastAsia="Arial" w:hAnsi="Arial"/>
                <w:sz w:val="13"/>
                <w:szCs w:val="13"/>
                <w:color w:val="202124"/>
              </w:rPr>
              <w:t>115 %</w:t>
            </w:r>
          </w:p>
        </w:tc>
        <w:tc>
          <w:tcPr>
            <w:tcW w:w="1000" w:type="dxa"/>
            <w:vAlign w:val="bottom"/>
          </w:tcPr>
          <w:p>
            <w:pPr>
              <w:jc w:val="right"/>
              <w:ind w:right="237"/>
              <w:spacing w:after="0"/>
              <w:rPr>
                <w:sz w:val="20"/>
                <w:szCs w:val="20"/>
                <w:color w:val="auto"/>
              </w:rPr>
            </w:pPr>
            <w:r>
              <w:rPr>
                <w:rFonts w:ascii="Arial" w:cs="Arial" w:eastAsia="Arial" w:hAnsi="Arial"/>
                <w:sz w:val="13"/>
                <w:szCs w:val="13"/>
                <w:color w:val="202124"/>
              </w:rPr>
              <w:t>142 %</w:t>
            </w:r>
          </w:p>
        </w:tc>
        <w:tc>
          <w:tcPr>
            <w:tcW w:w="1000" w:type="dxa"/>
            <w:vAlign w:val="bottom"/>
          </w:tcPr>
          <w:p>
            <w:pPr>
              <w:jc w:val="center"/>
              <w:spacing w:after="0"/>
              <w:rPr>
                <w:sz w:val="20"/>
                <w:szCs w:val="20"/>
                <w:color w:val="auto"/>
              </w:rPr>
            </w:pPr>
            <w:r>
              <w:rPr>
                <w:rFonts w:ascii="Arial" w:cs="Arial" w:eastAsia="Arial" w:hAnsi="Arial"/>
                <w:sz w:val="13"/>
                <w:szCs w:val="13"/>
                <w:color w:val="202124"/>
                <w:w w:val="97"/>
              </w:rPr>
              <w:t>165 %</w:t>
            </w:r>
          </w:p>
        </w:tc>
        <w:tc>
          <w:tcPr>
            <w:tcW w:w="760" w:type="dxa"/>
            <w:vAlign w:val="bottom"/>
          </w:tcPr>
          <w:p>
            <w:pPr>
              <w:jc w:val="right"/>
              <w:spacing w:after="0"/>
              <w:rPr>
                <w:sz w:val="20"/>
                <w:szCs w:val="20"/>
                <w:color w:val="auto"/>
              </w:rPr>
            </w:pPr>
            <w:r>
              <w:rPr>
                <w:rFonts w:ascii="Arial" w:cs="Arial" w:eastAsia="Arial" w:hAnsi="Arial"/>
                <w:sz w:val="13"/>
                <w:szCs w:val="13"/>
                <w:color w:val="202124"/>
              </w:rPr>
              <w:t>188 %</w:t>
            </w:r>
          </w:p>
        </w:tc>
      </w:tr>
    </w:tbl>
    <w:p>
      <w:pPr>
        <w:ind w:left="640" w:right="180"/>
        <w:spacing w:after="0" w:line="272" w:lineRule="auto"/>
        <w:rPr>
          <w:sz w:val="20"/>
          <w:szCs w:val="20"/>
          <w:color w:val="auto"/>
        </w:rPr>
      </w:pPr>
      <w:r>
        <w:rPr>
          <w:rFonts w:ascii="Arial" w:cs="Arial" w:eastAsia="Arial" w:hAnsi="Arial"/>
          <w:sz w:val="14"/>
          <w:szCs w:val="14"/>
          <w:b w:val="1"/>
          <w:bCs w:val="1"/>
          <w:color w:val="202124"/>
        </w:rPr>
        <w:t xml:space="preserve">Note: </w:t>
      </w:r>
      <w:r>
        <w:rPr>
          <w:rFonts w:ascii="Arial" w:cs="Arial" w:eastAsia="Arial" w:hAnsi="Arial"/>
          <w:sz w:val="14"/>
          <w:szCs w:val="14"/>
          <w:color w:val="202124"/>
        </w:rPr>
        <w:t>Shaded areas on the matrix indicate levels of attainment in which EBIT and ROIC would result in Economic Profit that is less than 90% of target</w:t>
      </w:r>
      <w:r>
        <w:rPr>
          <w:rFonts w:ascii="Arial" w:cs="Arial" w:eastAsia="Arial" w:hAnsi="Arial"/>
          <w:sz w:val="14"/>
          <w:szCs w:val="14"/>
          <w:b w:val="1"/>
          <w:bCs w:val="1"/>
          <w:color w:val="202124"/>
        </w:rPr>
        <w:t xml:space="preserve"> </w:t>
      </w:r>
      <w:r>
        <w:rPr>
          <w:rFonts w:ascii="Arial" w:cs="Arial" w:eastAsia="Arial" w:hAnsi="Arial"/>
          <w:sz w:val="14"/>
          <w:szCs w:val="14"/>
          <w:color w:val="202124"/>
        </w:rPr>
        <w:t>Economic Profit and therefore does not meet the specified hurdle and results in no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54   </w:t>
      </w:r>
      <w:r>
        <w:rPr>
          <w:sz w:val="1"/>
          <w:szCs w:val="1"/>
          <w:color w:val="auto"/>
        </w:rPr>
        <w:drawing>
          <wp:inline distT="0" distB="0" distL="0" distR="0">
            <wp:extent cx="1165860" cy="137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57" w:name="page58"/>
    <w:bookmarkEnd w:id="5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Attainment per Matrix</w:t>
      </w:r>
    </w:p>
    <w:p>
      <w:pPr>
        <w:spacing w:after="0" w:line="90" w:lineRule="exact"/>
        <w:rPr>
          <w:sz w:val="20"/>
          <w:szCs w:val="20"/>
          <w:color w:val="auto"/>
        </w:rPr>
      </w:pPr>
    </w:p>
    <w:p>
      <w:pPr>
        <w:ind w:left="640" w:right="80"/>
        <w:spacing w:after="0" w:line="251" w:lineRule="auto"/>
        <w:rPr>
          <w:sz w:val="20"/>
          <w:szCs w:val="20"/>
          <w:color w:val="auto"/>
        </w:rPr>
      </w:pPr>
      <w:r>
        <w:rPr>
          <w:rFonts w:ascii="Arial" w:cs="Arial" w:eastAsia="Arial" w:hAnsi="Arial"/>
          <w:sz w:val="17"/>
          <w:szCs w:val="17"/>
          <w:color w:val="202124"/>
        </w:rPr>
        <w:t>The Company’s results for FY26 consisted of $2,399.7 million in Economic Profit, $3,819.1 million in adjusted EBIT and 36.27% of adjusted ROIC, in each case, after removing the effects of non-cash charges related to LIFO inventory reserve</w:t>
      </w:r>
    </w:p>
    <w:p>
      <w:pPr>
        <w:ind w:left="640"/>
        <w:spacing w:after="0" w:line="235" w:lineRule="auto"/>
        <w:rPr>
          <w:sz w:val="20"/>
          <w:szCs w:val="20"/>
          <w:color w:val="auto"/>
        </w:rPr>
      </w:pPr>
      <w:r>
        <w:rPr>
          <w:rFonts w:ascii="Arial" w:cs="Arial" w:eastAsia="Arial" w:hAnsi="Arial"/>
          <w:sz w:val="18"/>
          <w:szCs w:val="18"/>
          <w:color w:val="202124"/>
        </w:rPr>
        <w:t>adjustments of $192 milllion. The impact of foreign exchange rate fluctuations adjustment has been excluded from the</w:t>
      </w:r>
    </w:p>
    <w:p>
      <w:pPr>
        <w:ind w:left="640" w:right="160"/>
        <w:spacing w:after="0"/>
        <w:rPr>
          <w:sz w:val="20"/>
          <w:szCs w:val="20"/>
          <w:color w:val="auto"/>
        </w:rPr>
      </w:pPr>
      <w:r>
        <w:rPr>
          <w:rFonts w:ascii="Arial" w:cs="Arial" w:eastAsia="Arial" w:hAnsi="Arial"/>
          <w:sz w:val="17"/>
          <w:szCs w:val="17"/>
          <w:color w:val="202124"/>
        </w:rPr>
        <w:t>FY26 attainment totaling $48.2 million. Additionally, FY26 performance attainment excludes 50% of the tariff refund benefit, totaling $48.0 million. In reaching this determination, the Committee carefully evaluated the nature of the benefit,</w:t>
      </w:r>
    </w:p>
    <w:p>
      <w:pPr>
        <w:ind w:left="640"/>
        <w:spacing w:after="0" w:line="235" w:lineRule="auto"/>
        <w:rPr>
          <w:sz w:val="20"/>
          <w:szCs w:val="20"/>
          <w:color w:val="auto"/>
        </w:rPr>
      </w:pPr>
      <w:r>
        <w:rPr>
          <w:rFonts w:ascii="Arial" w:cs="Arial" w:eastAsia="Arial" w:hAnsi="Arial"/>
          <w:sz w:val="18"/>
          <w:szCs w:val="18"/>
          <w:color w:val="202124"/>
        </w:rPr>
        <w:t>its impact on reported results, and the significant efforts undertaken by management and AutoZoners to manage the</w:t>
      </w:r>
    </w:p>
    <w:p>
      <w:pPr>
        <w:ind w:left="640" w:right="80"/>
        <w:spacing w:after="0"/>
        <w:rPr>
          <w:sz w:val="20"/>
          <w:szCs w:val="20"/>
          <w:color w:val="auto"/>
        </w:rPr>
      </w:pPr>
      <w:r>
        <w:rPr>
          <w:rFonts w:ascii="Arial" w:cs="Arial" w:eastAsia="Arial" w:hAnsi="Arial"/>
          <w:sz w:val="17"/>
          <w:szCs w:val="17"/>
          <w:color w:val="202124"/>
        </w:rPr>
        <w:t>operational and financial challenges associated with tariffs. The Committee recognized that the eventual recovery reflected substantial planning, execution, cost discipline, and considerable efforts by the team to mitigate disruption to the</w:t>
      </w:r>
    </w:p>
    <w:p>
      <w:pPr>
        <w:ind w:left="640"/>
        <w:spacing w:after="0" w:line="235" w:lineRule="auto"/>
        <w:rPr>
          <w:sz w:val="20"/>
          <w:szCs w:val="20"/>
          <w:color w:val="auto"/>
        </w:rPr>
      </w:pPr>
      <w:r>
        <w:rPr>
          <w:rFonts w:ascii="Arial" w:cs="Arial" w:eastAsia="Arial" w:hAnsi="Arial"/>
          <w:sz w:val="18"/>
          <w:szCs w:val="18"/>
          <w:color w:val="202124"/>
        </w:rPr>
        <w:t>business. At the same time, the Committee considered the importance of maintaining a strong pay-for-performance</w:t>
      </w:r>
    </w:p>
    <w:p>
      <w:pPr>
        <w:ind w:left="640" w:right="40"/>
        <w:spacing w:after="0"/>
        <w:rPr>
          <w:sz w:val="20"/>
          <w:szCs w:val="20"/>
          <w:color w:val="auto"/>
        </w:rPr>
      </w:pPr>
      <w:r>
        <w:rPr>
          <w:rFonts w:ascii="Arial" w:cs="Arial" w:eastAsia="Arial" w:hAnsi="Arial"/>
          <w:sz w:val="17"/>
          <w:szCs w:val="17"/>
          <w:color w:val="202124"/>
        </w:rPr>
        <w:t>alignment and ensuring that incentive outcomes appropriately reflected underlying operating performance. After balancing these considerations, the Committee determined that excluding 50% of the tariff rebate benefit appropriately recognized</w:t>
      </w:r>
    </w:p>
    <w:p>
      <w:pPr>
        <w:ind w:left="640"/>
        <w:spacing w:after="0" w:line="235" w:lineRule="auto"/>
        <w:rPr>
          <w:sz w:val="20"/>
          <w:szCs w:val="20"/>
          <w:color w:val="auto"/>
        </w:rPr>
      </w:pPr>
      <w:r>
        <w:rPr>
          <w:rFonts w:ascii="Arial" w:cs="Arial" w:eastAsia="Arial" w:hAnsi="Arial"/>
          <w:sz w:val="18"/>
          <w:szCs w:val="18"/>
          <w:color w:val="202124"/>
        </w:rPr>
        <w:t>management's contributions while preserving alignment between incentive compensation and sustainable business</w:t>
      </w:r>
    </w:p>
    <w:p>
      <w:pPr>
        <w:jc w:val="both"/>
        <w:ind w:left="640" w:right="200"/>
        <w:spacing w:after="0"/>
        <w:rPr>
          <w:sz w:val="20"/>
          <w:szCs w:val="20"/>
          <w:color w:val="auto"/>
        </w:rPr>
      </w:pPr>
      <w:r>
        <w:rPr>
          <w:rFonts w:ascii="Arial" w:cs="Arial" w:eastAsia="Arial" w:hAnsi="Arial"/>
          <w:sz w:val="17"/>
          <w:szCs w:val="17"/>
          <w:color w:val="202124"/>
        </w:rPr>
        <w:t>performance. Also, ROIC was calculated on a 14-point trailing fiscal period average to mitigate potential risks related to short-term actions which could inflate calculations. Based on these results, the Company achieved a payout of 105.73%</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of target under the FY26 MIP.</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720" w:type="dxa"/>
            <w:vAlign w:val="bottom"/>
            <w:shd w:val="clear" w:color="auto" w:fill="212322"/>
          </w:tcPr>
          <w:p>
            <w:pPr>
              <w:ind w:left="40"/>
              <w:spacing w:after="0"/>
              <w:rPr>
                <w:sz w:val="20"/>
                <w:szCs w:val="20"/>
                <w:color w:val="auto"/>
              </w:rPr>
            </w:pPr>
            <w:r>
              <w:rPr>
                <w:rFonts w:ascii="Arial" w:cs="Arial" w:eastAsia="Arial" w:hAnsi="Arial"/>
                <w:sz w:val="18"/>
                <w:szCs w:val="18"/>
                <w:b w:val="1"/>
                <w:bCs w:val="1"/>
                <w:color w:val="FFFFFF"/>
              </w:rPr>
              <w:t>($in mill)</w:t>
            </w:r>
          </w:p>
        </w:tc>
        <w:tc>
          <w:tcPr>
            <w:tcW w:w="2880" w:type="dxa"/>
            <w:vAlign w:val="bottom"/>
            <w:shd w:val="clear" w:color="auto" w:fill="212322"/>
          </w:tcPr>
          <w:p>
            <w:pPr>
              <w:spacing w:after="0"/>
              <w:rPr>
                <w:sz w:val="17"/>
                <w:szCs w:val="17"/>
                <w:color w:val="auto"/>
              </w:rPr>
            </w:pPr>
          </w:p>
        </w:tc>
        <w:tc>
          <w:tcPr>
            <w:tcW w:w="200" w:type="dxa"/>
            <w:vAlign w:val="bottom"/>
            <w:shd w:val="clear" w:color="auto" w:fill="212322"/>
          </w:tcPr>
          <w:p>
            <w:pPr>
              <w:spacing w:after="0"/>
              <w:rPr>
                <w:sz w:val="17"/>
                <w:szCs w:val="17"/>
                <w:color w:val="auto"/>
              </w:rPr>
            </w:pPr>
          </w:p>
        </w:tc>
        <w:tc>
          <w:tcPr>
            <w:tcW w:w="980" w:type="dxa"/>
            <w:vAlign w:val="bottom"/>
            <w:shd w:val="clear" w:color="auto" w:fill="212322"/>
          </w:tcPr>
          <w:p>
            <w:pPr>
              <w:spacing w:after="0"/>
              <w:rPr>
                <w:sz w:val="17"/>
                <w:szCs w:val="17"/>
                <w:color w:val="auto"/>
              </w:rPr>
            </w:pPr>
          </w:p>
        </w:tc>
        <w:tc>
          <w:tcPr>
            <w:tcW w:w="200" w:type="dxa"/>
            <w:vAlign w:val="bottom"/>
            <w:shd w:val="clear" w:color="auto" w:fill="212322"/>
          </w:tcPr>
          <w:p>
            <w:pPr>
              <w:jc w:val="right"/>
              <w:spacing w:after="0"/>
              <w:rPr>
                <w:sz w:val="20"/>
                <w:szCs w:val="20"/>
                <w:color w:val="auto"/>
              </w:rPr>
            </w:pPr>
            <w:r>
              <w:rPr>
                <w:rFonts w:ascii="Arial" w:cs="Arial" w:eastAsia="Arial" w:hAnsi="Arial"/>
                <w:sz w:val="18"/>
                <w:szCs w:val="18"/>
                <w:b w:val="1"/>
                <w:bCs w:val="1"/>
                <w:color w:val="FFFFFF"/>
              </w:rPr>
              <w:t>​​​</w:t>
            </w:r>
          </w:p>
        </w:tc>
        <w:tc>
          <w:tcPr>
            <w:tcW w:w="940" w:type="dxa"/>
            <w:vAlign w:val="bottom"/>
            <w:shd w:val="clear" w:color="auto" w:fill="212322"/>
          </w:tcPr>
          <w:p>
            <w:pPr>
              <w:ind w:left="180"/>
              <w:spacing w:after="0"/>
              <w:rPr>
                <w:sz w:val="20"/>
                <w:szCs w:val="20"/>
                <w:color w:val="auto"/>
              </w:rPr>
            </w:pPr>
            <w:r>
              <w:rPr>
                <w:rFonts w:ascii="Arial" w:cs="Arial" w:eastAsia="Arial" w:hAnsi="Arial"/>
                <w:sz w:val="18"/>
                <w:szCs w:val="18"/>
                <w:b w:val="1"/>
                <w:bCs w:val="1"/>
                <w:color w:val="FFFFFF"/>
              </w:rPr>
              <w:t>Target</w:t>
            </w:r>
          </w:p>
        </w:tc>
        <w:tc>
          <w:tcPr>
            <w:tcW w:w="420" w:type="dxa"/>
            <w:vAlign w:val="bottom"/>
            <w:gridSpan w:val="2"/>
            <w:shd w:val="clear" w:color="auto" w:fill="212322"/>
          </w:tcPr>
          <w:p>
            <w:pPr>
              <w:ind w:left="140"/>
              <w:spacing w:after="0"/>
              <w:rPr>
                <w:sz w:val="20"/>
                <w:szCs w:val="20"/>
                <w:color w:val="auto"/>
              </w:rPr>
            </w:pPr>
            <w:r>
              <w:rPr>
                <w:rFonts w:ascii="Arial" w:cs="Arial" w:eastAsia="Arial" w:hAnsi="Arial"/>
                <w:sz w:val="18"/>
                <w:szCs w:val="18"/>
                <w:b w:val="1"/>
                <w:bCs w:val="1"/>
                <w:color w:val="FFFFFF"/>
              </w:rPr>
              <w:t>​​​</w:t>
            </w:r>
          </w:p>
        </w:tc>
        <w:tc>
          <w:tcPr>
            <w:tcW w:w="720" w:type="dxa"/>
            <w:vAlign w:val="bottom"/>
            <w:shd w:val="clear" w:color="auto" w:fill="212322"/>
          </w:tcPr>
          <w:p>
            <w:pPr>
              <w:jc w:val="right"/>
              <w:spacing w:after="0"/>
              <w:rPr>
                <w:sz w:val="20"/>
                <w:szCs w:val="20"/>
                <w:color w:val="auto"/>
              </w:rPr>
            </w:pPr>
            <w:r>
              <w:rPr>
                <w:rFonts w:ascii="Arial" w:cs="Arial" w:eastAsia="Arial" w:hAnsi="Arial"/>
                <w:sz w:val="18"/>
                <w:szCs w:val="18"/>
                <w:b w:val="1"/>
                <w:bCs w:val="1"/>
                <w:color w:val="FFFFFF"/>
              </w:rPr>
              <w:t>Actual</w:t>
            </w:r>
          </w:p>
        </w:tc>
        <w:tc>
          <w:tcPr>
            <w:tcW w:w="380" w:type="dxa"/>
            <w:vAlign w:val="bottom"/>
            <w:shd w:val="clear" w:color="auto" w:fill="212322"/>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640" w:type="dxa"/>
            <w:vAlign w:val="bottom"/>
          </w:tcPr>
          <w:p>
            <w:pPr>
              <w:spacing w:after="0"/>
              <w:rPr>
                <w:sz w:val="21"/>
                <w:szCs w:val="21"/>
                <w:color w:val="auto"/>
              </w:rPr>
            </w:pPr>
          </w:p>
        </w:tc>
        <w:tc>
          <w:tcPr>
            <w:tcW w:w="172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202124"/>
              </w:rPr>
              <w:t>Economic Profit</w:t>
            </w:r>
          </w:p>
        </w:tc>
        <w:tc>
          <w:tcPr>
            <w:tcW w:w="28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2,372.5</w:t>
            </w:r>
          </w:p>
        </w:tc>
        <w:tc>
          <w:tcPr>
            <w:tcW w:w="2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202124"/>
                <w:w w:val="99"/>
              </w:rPr>
              <w:t>$</w:t>
            </w:r>
          </w:p>
        </w:tc>
        <w:tc>
          <w:tcPr>
            <w:tcW w:w="1100" w:type="dxa"/>
            <w:vAlign w:val="bottom"/>
            <w:tcBorders>
              <w:bottom w:val="single" w:sz="8" w:color="808080"/>
            </w:tcBorders>
            <w:gridSpan w:val="2"/>
          </w:tcPr>
          <w:p>
            <w:pPr>
              <w:jc w:val="right"/>
              <w:ind w:right="115"/>
              <w:spacing w:after="0"/>
              <w:rPr>
                <w:sz w:val="20"/>
                <w:szCs w:val="20"/>
                <w:color w:val="auto"/>
              </w:rPr>
            </w:pPr>
            <w:r>
              <w:rPr>
                <w:rFonts w:ascii="Arial" w:cs="Arial" w:eastAsia="Arial" w:hAnsi="Arial"/>
                <w:sz w:val="18"/>
                <w:szCs w:val="18"/>
                <w:color w:val="202124"/>
              </w:rPr>
              <w:t>2,399.7</w:t>
            </w:r>
          </w:p>
        </w:tc>
        <w:tc>
          <w:tcPr>
            <w:tcW w:w="640" w:type="dxa"/>
            <w:vAlign w:val="bottom"/>
          </w:tcPr>
          <w:p>
            <w:pPr>
              <w:spacing w:after="0"/>
              <w:rPr>
                <w:sz w:val="21"/>
                <w:szCs w:val="21"/>
                <w:color w:val="auto"/>
              </w:rPr>
            </w:pPr>
          </w:p>
        </w:tc>
      </w:tr>
      <w:tr>
        <w:trPr>
          <w:trHeight w:val="237"/>
        </w:trPr>
        <w:tc>
          <w:tcPr>
            <w:tcW w:w="640" w:type="dxa"/>
            <w:vAlign w:val="bottom"/>
          </w:tcPr>
          <w:p>
            <w:pPr>
              <w:spacing w:after="0"/>
              <w:rPr>
                <w:sz w:val="20"/>
                <w:szCs w:val="20"/>
                <w:color w:val="auto"/>
              </w:rPr>
            </w:pPr>
          </w:p>
        </w:tc>
        <w:tc>
          <w:tcPr>
            <w:tcW w:w="172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202124"/>
              </w:rPr>
              <w:t>EBIT</w:t>
            </w:r>
          </w:p>
        </w:tc>
        <w:tc>
          <w:tcPr>
            <w:tcW w:w="28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3,827.0</w:t>
            </w:r>
          </w:p>
        </w:tc>
        <w:tc>
          <w:tcPr>
            <w:tcW w:w="2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202124"/>
                <w:w w:val="99"/>
              </w:rPr>
              <w:t>$</w:t>
            </w:r>
          </w:p>
        </w:tc>
        <w:tc>
          <w:tcPr>
            <w:tcW w:w="1100" w:type="dxa"/>
            <w:vAlign w:val="bottom"/>
            <w:tcBorders>
              <w:bottom w:val="single" w:sz="8" w:color="808080"/>
            </w:tcBorders>
            <w:gridSpan w:val="2"/>
          </w:tcPr>
          <w:p>
            <w:pPr>
              <w:jc w:val="right"/>
              <w:ind w:right="115"/>
              <w:spacing w:after="0"/>
              <w:rPr>
                <w:sz w:val="20"/>
                <w:szCs w:val="20"/>
                <w:color w:val="auto"/>
              </w:rPr>
            </w:pPr>
            <w:r>
              <w:rPr>
                <w:rFonts w:ascii="Arial" w:cs="Arial" w:eastAsia="Arial" w:hAnsi="Arial"/>
                <w:sz w:val="18"/>
                <w:szCs w:val="18"/>
                <w:color w:val="202124"/>
              </w:rPr>
              <w:t>3,819.1</w:t>
            </w:r>
          </w:p>
        </w:tc>
        <w:tc>
          <w:tcPr>
            <w:tcW w:w="640" w:type="dxa"/>
            <w:vAlign w:val="bottom"/>
          </w:tcPr>
          <w:p>
            <w:pPr>
              <w:spacing w:after="0"/>
              <w:rPr>
                <w:sz w:val="20"/>
                <w:szCs w:val="20"/>
                <w:color w:val="auto"/>
              </w:rPr>
            </w:pPr>
          </w:p>
        </w:tc>
      </w:tr>
      <w:tr>
        <w:trPr>
          <w:trHeight w:val="236"/>
        </w:trPr>
        <w:tc>
          <w:tcPr>
            <w:tcW w:w="640" w:type="dxa"/>
            <w:vAlign w:val="bottom"/>
          </w:tcPr>
          <w:p>
            <w:pPr>
              <w:spacing w:after="0"/>
              <w:rPr>
                <w:sz w:val="20"/>
                <w:szCs w:val="20"/>
                <w:color w:val="auto"/>
              </w:rPr>
            </w:pPr>
          </w:p>
        </w:tc>
        <w:tc>
          <w:tcPr>
            <w:tcW w:w="1720" w:type="dxa"/>
            <w:vAlign w:val="bottom"/>
          </w:tcPr>
          <w:p>
            <w:pPr>
              <w:ind w:left="40"/>
              <w:spacing w:after="0"/>
              <w:rPr>
                <w:sz w:val="20"/>
                <w:szCs w:val="20"/>
                <w:color w:val="auto"/>
              </w:rPr>
            </w:pPr>
            <w:r>
              <w:rPr>
                <w:rFonts w:ascii="Arial" w:cs="Arial" w:eastAsia="Arial" w:hAnsi="Arial"/>
                <w:sz w:val="18"/>
                <w:szCs w:val="18"/>
                <w:color w:val="202124"/>
              </w:rPr>
              <w:t>ROIC</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202124"/>
              </w:rPr>
              <w:t>37.16 %</w:t>
            </w:r>
          </w:p>
        </w:tc>
        <w:tc>
          <w:tcPr>
            <w:tcW w:w="180" w:type="dxa"/>
            <w:vAlign w:val="bottom"/>
          </w:tcPr>
          <w:p>
            <w:pPr>
              <w:spacing w:after="0"/>
              <w:rPr>
                <w:sz w:val="20"/>
                <w:szCs w:val="20"/>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202124"/>
              </w:rPr>
              <w:t>36.27 %</w:t>
            </w:r>
          </w:p>
        </w:tc>
      </w:tr>
      <w:tr>
        <w:trPr>
          <w:trHeight w:val="217"/>
        </w:trPr>
        <w:tc>
          <w:tcPr>
            <w:tcW w:w="640" w:type="dxa"/>
            <w:vAlign w:val="bottom"/>
          </w:tcPr>
          <w:p>
            <w:pPr>
              <w:spacing w:after="0"/>
              <w:rPr>
                <w:sz w:val="18"/>
                <w:szCs w:val="18"/>
                <w:color w:val="auto"/>
              </w:rPr>
            </w:pPr>
          </w:p>
        </w:tc>
        <w:tc>
          <w:tcPr>
            <w:tcW w:w="1720" w:type="dxa"/>
            <w:vAlign w:val="bottom"/>
            <w:tcBorders>
              <w:top w:val="single" w:sz="8" w:color="808080"/>
              <w:bottom w:val="single" w:sz="8" w:color="202124"/>
            </w:tcBorders>
          </w:tcPr>
          <w:p>
            <w:pPr>
              <w:spacing w:after="0"/>
              <w:rPr>
                <w:sz w:val="18"/>
                <w:szCs w:val="18"/>
                <w:color w:val="auto"/>
              </w:rPr>
            </w:pPr>
          </w:p>
        </w:tc>
        <w:tc>
          <w:tcPr>
            <w:tcW w:w="5200" w:type="dxa"/>
            <w:vAlign w:val="bottom"/>
            <w:tcBorders>
              <w:top w:val="single" w:sz="8" w:color="808080"/>
              <w:bottom w:val="single" w:sz="8" w:color="202124"/>
            </w:tcBorders>
            <w:gridSpan w:val="5"/>
          </w:tcPr>
          <w:p>
            <w:pPr>
              <w:jc w:val="right"/>
              <w:ind w:right="513"/>
              <w:spacing w:after="0" w:line="196" w:lineRule="exact"/>
              <w:rPr>
                <w:sz w:val="20"/>
                <w:szCs w:val="20"/>
                <w:color w:val="auto"/>
              </w:rPr>
            </w:pPr>
            <w:r>
              <w:rPr>
                <w:rFonts w:ascii="Arial" w:cs="Arial" w:eastAsia="Arial" w:hAnsi="Arial"/>
                <w:sz w:val="18"/>
                <w:szCs w:val="18"/>
                <w:b w:val="1"/>
                <w:bCs w:val="1"/>
                <w:color w:val="202124"/>
              </w:rPr>
              <w:t>MIP Attainment per Matrix (% of Target): 105.73%</w:t>
            </w:r>
          </w:p>
        </w:tc>
        <w:tc>
          <w:tcPr>
            <w:tcW w:w="240" w:type="dxa"/>
            <w:vAlign w:val="bottom"/>
            <w:tcBorders>
              <w:top w:val="single" w:sz="8" w:color="808080"/>
              <w:bottom w:val="single" w:sz="8" w:color="202124"/>
            </w:tcBorders>
          </w:tcPr>
          <w:p>
            <w:pPr>
              <w:spacing w:after="0"/>
              <w:rPr>
                <w:sz w:val="18"/>
                <w:szCs w:val="18"/>
                <w:color w:val="auto"/>
              </w:rPr>
            </w:pPr>
          </w:p>
        </w:tc>
        <w:tc>
          <w:tcPr>
            <w:tcW w:w="180" w:type="dxa"/>
            <w:vAlign w:val="bottom"/>
            <w:tcBorders>
              <w:top w:val="single" w:sz="8" w:color="808080"/>
              <w:bottom w:val="single" w:sz="8" w:color="202124"/>
            </w:tcBorders>
          </w:tcPr>
          <w:p>
            <w:pPr>
              <w:spacing w:after="0"/>
              <w:rPr>
                <w:sz w:val="18"/>
                <w:szCs w:val="18"/>
                <w:color w:val="auto"/>
              </w:rPr>
            </w:pPr>
          </w:p>
        </w:tc>
        <w:tc>
          <w:tcPr>
            <w:tcW w:w="720" w:type="dxa"/>
            <w:vAlign w:val="bottom"/>
            <w:tcBorders>
              <w:top w:val="single" w:sz="8" w:color="808080"/>
              <w:bottom w:val="single" w:sz="8" w:color="202124"/>
            </w:tcBorders>
          </w:tcPr>
          <w:p>
            <w:pPr>
              <w:spacing w:after="0"/>
              <w:rPr>
                <w:sz w:val="18"/>
                <w:szCs w:val="18"/>
                <w:color w:val="auto"/>
              </w:rPr>
            </w:pPr>
          </w:p>
        </w:tc>
        <w:tc>
          <w:tcPr>
            <w:tcW w:w="380" w:type="dxa"/>
            <w:vAlign w:val="bottom"/>
            <w:tcBorders>
              <w:top w:val="single" w:sz="8" w:color="808080"/>
              <w:bottom w:val="single" w:sz="8" w:color="202124"/>
            </w:tcBorders>
          </w:tcPr>
          <w:p>
            <w:pPr>
              <w:spacing w:after="0"/>
              <w:rPr>
                <w:sz w:val="18"/>
                <w:szCs w:val="18"/>
                <w:color w:val="auto"/>
              </w:rPr>
            </w:pPr>
          </w:p>
        </w:tc>
        <w:tc>
          <w:tcPr>
            <w:tcW w:w="640" w:type="dxa"/>
            <w:vAlign w:val="bottom"/>
          </w:tcPr>
          <w:p>
            <w:pPr>
              <w:spacing w:after="0"/>
              <w:rPr>
                <w:sz w:val="18"/>
                <w:szCs w:val="18"/>
                <w:color w:val="auto"/>
              </w:rPr>
            </w:pPr>
          </w:p>
        </w:tc>
      </w:tr>
      <w:tr>
        <w:trPr>
          <w:trHeight w:val="349"/>
        </w:trPr>
        <w:tc>
          <w:tcPr>
            <w:tcW w:w="2360" w:type="dxa"/>
            <w:vAlign w:val="bottom"/>
            <w:gridSpan w:val="2"/>
          </w:tcPr>
          <w:p>
            <w:pPr>
              <w:spacing w:after="0"/>
              <w:rPr>
                <w:sz w:val="20"/>
                <w:szCs w:val="20"/>
                <w:color w:val="auto"/>
              </w:rPr>
            </w:pPr>
            <w:r>
              <w:rPr>
                <w:rFonts w:ascii="Arial" w:cs="Arial" w:eastAsia="Arial" w:hAnsi="Arial"/>
                <w:sz w:val="18"/>
                <w:szCs w:val="18"/>
                <w:b w:val="1"/>
                <w:bCs w:val="1"/>
                <w:color w:val="202124"/>
              </w:rPr>
              <w:t>Actual Payouts</w:t>
            </w: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4"/>
        </w:trPr>
        <w:tc>
          <w:tcPr>
            <w:tcW w:w="9720" w:type="dxa"/>
            <w:vAlign w:val="bottom"/>
            <w:gridSpan w:val="12"/>
          </w:tcPr>
          <w:p>
            <w:pPr>
              <w:spacing w:after="0"/>
              <w:rPr>
                <w:sz w:val="20"/>
                <w:szCs w:val="20"/>
                <w:color w:val="auto"/>
              </w:rPr>
            </w:pPr>
            <w:r>
              <w:rPr>
                <w:rFonts w:ascii="Arial" w:cs="Arial" w:eastAsia="Arial" w:hAnsi="Arial"/>
                <w:sz w:val="18"/>
                <w:szCs w:val="18"/>
                <w:color w:val="202124"/>
              </w:rPr>
              <w:t>Based on actual FY26 performance against pre-established financial goals, each NEO earned the following annual</w:t>
            </w:r>
          </w:p>
        </w:tc>
      </w:tr>
      <w:tr>
        <w:trPr>
          <w:trHeight w:val="239"/>
        </w:trPr>
        <w:tc>
          <w:tcPr>
            <w:tcW w:w="2360" w:type="dxa"/>
            <w:vAlign w:val="bottom"/>
            <w:gridSpan w:val="2"/>
          </w:tcPr>
          <w:p>
            <w:pPr>
              <w:spacing w:after="0"/>
              <w:rPr>
                <w:sz w:val="20"/>
                <w:szCs w:val="20"/>
                <w:color w:val="auto"/>
              </w:rPr>
            </w:pPr>
            <w:r>
              <w:rPr>
                <w:rFonts w:ascii="Arial" w:cs="Arial" w:eastAsia="Arial" w:hAnsi="Arial"/>
                <w:sz w:val="18"/>
                <w:szCs w:val="18"/>
                <w:color w:val="202124"/>
              </w:rPr>
              <w:t>incentive plan payout.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71"/>
        </w:trPr>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9"/>
        </w:trPr>
        <w:tc>
          <w:tcPr>
            <w:tcW w:w="640" w:type="dxa"/>
            <w:vAlign w:val="bottom"/>
            <w:shd w:val="clear" w:color="auto" w:fill="212322"/>
          </w:tcPr>
          <w:p>
            <w:pPr>
              <w:spacing w:after="0"/>
              <w:rPr>
                <w:sz w:val="16"/>
                <w:szCs w:val="16"/>
                <w:color w:val="auto"/>
              </w:rPr>
            </w:pPr>
          </w:p>
        </w:tc>
        <w:tc>
          <w:tcPr>
            <w:tcW w:w="1720" w:type="dxa"/>
            <w:vAlign w:val="bottom"/>
            <w:shd w:val="clear" w:color="auto" w:fill="212322"/>
          </w:tcPr>
          <w:p>
            <w:pPr>
              <w:spacing w:after="0"/>
              <w:rPr>
                <w:sz w:val="16"/>
                <w:szCs w:val="16"/>
                <w:color w:val="auto"/>
              </w:rPr>
            </w:pPr>
          </w:p>
        </w:tc>
        <w:tc>
          <w:tcPr>
            <w:tcW w:w="2880" w:type="dxa"/>
            <w:vAlign w:val="bottom"/>
            <w:shd w:val="clear" w:color="auto" w:fill="212322"/>
          </w:tcPr>
          <w:p>
            <w:pPr>
              <w:jc w:val="right"/>
              <w:ind w:right="936"/>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212322"/>
          </w:tcPr>
          <w:p>
            <w:pPr>
              <w:ind w:left="60"/>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212322"/>
          </w:tcPr>
          <w:p>
            <w:pPr>
              <w:spacing w:after="0"/>
              <w:rPr>
                <w:sz w:val="16"/>
                <w:szCs w:val="16"/>
                <w:color w:val="auto"/>
              </w:rPr>
            </w:pPr>
          </w:p>
        </w:tc>
        <w:tc>
          <w:tcPr>
            <w:tcW w:w="940" w:type="dxa"/>
            <w:vAlign w:val="bottom"/>
            <w:shd w:val="clear" w:color="auto" w:fill="212322"/>
          </w:tcPr>
          <w:p>
            <w:pPr>
              <w:spacing w:after="0"/>
              <w:rPr>
                <w:sz w:val="16"/>
                <w:szCs w:val="16"/>
                <w:color w:val="auto"/>
              </w:rPr>
            </w:pPr>
          </w:p>
        </w:tc>
        <w:tc>
          <w:tcPr>
            <w:tcW w:w="240" w:type="dxa"/>
            <w:vAlign w:val="bottom"/>
            <w:shd w:val="clear" w:color="auto" w:fill="212322"/>
          </w:tcPr>
          <w:p>
            <w:pPr>
              <w:jc w:val="right"/>
              <w:ind w:right="39"/>
              <w:spacing w:after="0"/>
              <w:rPr>
                <w:sz w:val="20"/>
                <w:szCs w:val="20"/>
                <w:color w:val="auto"/>
              </w:rPr>
            </w:pPr>
            <w:r>
              <w:rPr>
                <w:rFonts w:ascii="Arial" w:cs="Arial" w:eastAsia="Arial" w:hAnsi="Arial"/>
                <w:sz w:val="14"/>
                <w:szCs w:val="14"/>
                <w:b w:val="1"/>
                <w:bCs w:val="1"/>
                <w:color w:val="FFFFFF"/>
              </w:rPr>
              <w:t>​​​</w:t>
            </w:r>
          </w:p>
        </w:tc>
        <w:tc>
          <w:tcPr>
            <w:tcW w:w="900" w:type="dxa"/>
            <w:vAlign w:val="bottom"/>
            <w:gridSpan w:val="2"/>
            <w:shd w:val="clear" w:color="auto" w:fill="212322"/>
          </w:tcPr>
          <w:p>
            <w:pPr>
              <w:jc w:val="right"/>
              <w:ind w:right="212"/>
              <w:spacing w:after="0"/>
              <w:rPr>
                <w:sz w:val="20"/>
                <w:szCs w:val="20"/>
                <w:color w:val="auto"/>
              </w:rPr>
            </w:pPr>
            <w:r>
              <w:rPr>
                <w:rFonts w:ascii="Arial" w:cs="Arial" w:eastAsia="Arial" w:hAnsi="Arial"/>
                <w:sz w:val="14"/>
                <w:szCs w:val="14"/>
                <w:b w:val="1"/>
                <w:bCs w:val="1"/>
                <w:color w:val="FFFFFF"/>
              </w:rPr>
              <w:t>Payout</w:t>
            </w:r>
          </w:p>
        </w:tc>
        <w:tc>
          <w:tcPr>
            <w:tcW w:w="380" w:type="dxa"/>
            <w:vAlign w:val="bottom"/>
            <w:shd w:val="clear" w:color="auto" w:fill="212322"/>
          </w:tcPr>
          <w:p>
            <w:pPr>
              <w:spacing w:after="0"/>
              <w:rPr>
                <w:sz w:val="16"/>
                <w:szCs w:val="16"/>
                <w:color w:val="auto"/>
              </w:rPr>
            </w:pPr>
          </w:p>
        </w:tc>
        <w:tc>
          <w:tcPr>
            <w:tcW w:w="640" w:type="dxa"/>
            <w:vAlign w:val="bottom"/>
            <w:shd w:val="clear" w:color="auto" w:fill="212322"/>
          </w:tcPr>
          <w:p>
            <w:pPr>
              <w:spacing w:after="0"/>
              <w:rPr>
                <w:sz w:val="16"/>
                <w:szCs w:val="16"/>
                <w:color w:val="auto"/>
              </w:rPr>
            </w:pPr>
          </w:p>
        </w:tc>
      </w:tr>
      <w:tr>
        <w:trPr>
          <w:trHeight w:val="189"/>
        </w:trPr>
        <w:tc>
          <w:tcPr>
            <w:tcW w:w="640" w:type="dxa"/>
            <w:vAlign w:val="bottom"/>
            <w:shd w:val="clear" w:color="auto" w:fill="212322"/>
          </w:tcPr>
          <w:p>
            <w:pPr>
              <w:spacing w:after="0"/>
              <w:rPr>
                <w:sz w:val="16"/>
                <w:szCs w:val="16"/>
                <w:color w:val="auto"/>
              </w:rPr>
            </w:pPr>
          </w:p>
        </w:tc>
        <w:tc>
          <w:tcPr>
            <w:tcW w:w="1720" w:type="dxa"/>
            <w:vAlign w:val="bottom"/>
            <w:shd w:val="clear" w:color="auto" w:fill="212322"/>
          </w:tcPr>
          <w:p>
            <w:pPr>
              <w:spacing w:after="0"/>
              <w:rPr>
                <w:sz w:val="16"/>
                <w:szCs w:val="16"/>
                <w:color w:val="auto"/>
              </w:rPr>
            </w:pPr>
          </w:p>
        </w:tc>
        <w:tc>
          <w:tcPr>
            <w:tcW w:w="2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980" w:type="dxa"/>
            <w:vAlign w:val="bottom"/>
            <w:shd w:val="clear" w:color="auto" w:fill="212322"/>
          </w:tcPr>
          <w:p>
            <w:pPr>
              <w:jc w:val="right"/>
              <w:ind w:right="338"/>
              <w:spacing w:after="0"/>
              <w:rPr>
                <w:sz w:val="20"/>
                <w:szCs w:val="20"/>
                <w:color w:val="auto"/>
              </w:rPr>
            </w:pPr>
            <w:r>
              <w:rPr>
                <w:rFonts w:ascii="Arial" w:cs="Arial" w:eastAsia="Arial" w:hAnsi="Arial"/>
                <w:sz w:val="14"/>
                <w:szCs w:val="14"/>
                <w:b w:val="1"/>
                <w:bCs w:val="1"/>
                <w:color w:val="FFFFFF"/>
              </w:rPr>
              <w:t>Target</w:t>
            </w:r>
          </w:p>
        </w:tc>
        <w:tc>
          <w:tcPr>
            <w:tcW w:w="200" w:type="dxa"/>
            <w:vAlign w:val="bottom"/>
            <w:shd w:val="clear" w:color="auto" w:fill="212322"/>
          </w:tcPr>
          <w:p>
            <w:pPr>
              <w:spacing w:after="0"/>
              <w:rPr>
                <w:sz w:val="16"/>
                <w:szCs w:val="16"/>
                <w:color w:val="auto"/>
              </w:rPr>
            </w:pPr>
          </w:p>
        </w:tc>
        <w:tc>
          <w:tcPr>
            <w:tcW w:w="940" w:type="dxa"/>
            <w:vAlign w:val="bottom"/>
            <w:shd w:val="clear" w:color="auto" w:fill="212322"/>
          </w:tcPr>
          <w:p>
            <w:pPr>
              <w:spacing w:after="0"/>
              <w:rPr>
                <w:sz w:val="16"/>
                <w:szCs w:val="16"/>
                <w:color w:val="auto"/>
              </w:rPr>
            </w:pPr>
          </w:p>
        </w:tc>
        <w:tc>
          <w:tcPr>
            <w:tcW w:w="240" w:type="dxa"/>
            <w:vAlign w:val="bottom"/>
            <w:shd w:val="clear" w:color="auto" w:fill="212322"/>
          </w:tcPr>
          <w:p>
            <w:pPr>
              <w:spacing w:after="0"/>
              <w:rPr>
                <w:sz w:val="16"/>
                <w:szCs w:val="16"/>
                <w:color w:val="auto"/>
              </w:rPr>
            </w:pPr>
          </w:p>
        </w:tc>
        <w:tc>
          <w:tcPr>
            <w:tcW w:w="900" w:type="dxa"/>
            <w:vAlign w:val="bottom"/>
            <w:gridSpan w:val="2"/>
            <w:shd w:val="clear" w:color="auto" w:fill="212322"/>
          </w:tcPr>
          <w:p>
            <w:pPr>
              <w:jc w:val="right"/>
              <w:ind w:right="132"/>
              <w:spacing w:after="0"/>
              <w:rPr>
                <w:sz w:val="20"/>
                <w:szCs w:val="20"/>
                <w:color w:val="auto"/>
              </w:rPr>
            </w:pPr>
            <w:r>
              <w:rPr>
                <w:rFonts w:ascii="Arial" w:cs="Arial" w:eastAsia="Arial" w:hAnsi="Arial"/>
                <w:sz w:val="14"/>
                <w:szCs w:val="14"/>
                <w:b w:val="1"/>
                <w:bCs w:val="1"/>
                <w:color w:val="FFFFFF"/>
              </w:rPr>
              <w:t>(105.73%</w:t>
            </w:r>
          </w:p>
        </w:tc>
        <w:tc>
          <w:tcPr>
            <w:tcW w:w="380" w:type="dxa"/>
            <w:vAlign w:val="bottom"/>
            <w:shd w:val="clear" w:color="auto" w:fill="212322"/>
          </w:tcPr>
          <w:p>
            <w:pPr>
              <w:spacing w:after="0"/>
              <w:rPr>
                <w:sz w:val="16"/>
                <w:szCs w:val="16"/>
                <w:color w:val="auto"/>
              </w:rPr>
            </w:pPr>
          </w:p>
        </w:tc>
        <w:tc>
          <w:tcPr>
            <w:tcW w:w="640" w:type="dxa"/>
            <w:vAlign w:val="bottom"/>
            <w:shd w:val="clear" w:color="auto" w:fill="212322"/>
          </w:tcPr>
          <w:p>
            <w:pPr>
              <w:spacing w:after="0"/>
              <w:rPr>
                <w:sz w:val="16"/>
                <w:szCs w:val="16"/>
                <w:color w:val="auto"/>
              </w:rPr>
            </w:pPr>
          </w:p>
        </w:tc>
      </w:tr>
      <w:tr>
        <w:trPr>
          <w:trHeight w:val="189"/>
        </w:trPr>
        <w:tc>
          <w:tcPr>
            <w:tcW w:w="640" w:type="dxa"/>
            <w:vAlign w:val="bottom"/>
            <w:shd w:val="clear" w:color="auto" w:fill="212322"/>
          </w:tcPr>
          <w:p>
            <w:pPr>
              <w:spacing w:after="0"/>
              <w:rPr>
                <w:sz w:val="16"/>
                <w:szCs w:val="16"/>
                <w:color w:val="auto"/>
              </w:rPr>
            </w:pPr>
          </w:p>
        </w:tc>
        <w:tc>
          <w:tcPr>
            <w:tcW w:w="1720" w:type="dxa"/>
            <w:vAlign w:val="bottom"/>
            <w:shd w:val="clear" w:color="auto" w:fill="212322"/>
          </w:tcPr>
          <w:p>
            <w:pPr>
              <w:spacing w:after="0"/>
              <w:rPr>
                <w:sz w:val="16"/>
                <w:szCs w:val="16"/>
                <w:color w:val="auto"/>
              </w:rPr>
            </w:pPr>
          </w:p>
        </w:tc>
        <w:tc>
          <w:tcPr>
            <w:tcW w:w="28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Base Salary</w:t>
            </w:r>
          </w:p>
        </w:tc>
        <w:tc>
          <w:tcPr>
            <w:tcW w:w="200" w:type="dxa"/>
            <w:vAlign w:val="bottom"/>
            <w:shd w:val="clear" w:color="auto" w:fill="212322"/>
          </w:tcPr>
          <w:p>
            <w:pPr>
              <w:spacing w:after="0"/>
              <w:rPr>
                <w:sz w:val="16"/>
                <w:szCs w:val="16"/>
                <w:color w:val="auto"/>
              </w:rPr>
            </w:pPr>
          </w:p>
        </w:tc>
        <w:tc>
          <w:tcPr>
            <w:tcW w:w="980" w:type="dxa"/>
            <w:vAlign w:val="bottom"/>
            <w:shd w:val="clear" w:color="auto" w:fill="212322"/>
          </w:tcPr>
          <w:p>
            <w:pPr>
              <w:jc w:val="right"/>
              <w:ind w:right="158"/>
              <w:spacing w:after="0"/>
              <w:rPr>
                <w:sz w:val="20"/>
                <w:szCs w:val="20"/>
                <w:color w:val="auto"/>
              </w:rPr>
            </w:pPr>
            <w:r>
              <w:rPr>
                <w:rFonts w:ascii="Arial" w:cs="Arial" w:eastAsia="Arial" w:hAnsi="Arial"/>
                <w:sz w:val="14"/>
                <w:szCs w:val="14"/>
                <w:b w:val="1"/>
                <w:bCs w:val="1"/>
                <w:color w:val="FFFFFF"/>
              </w:rPr>
              <w:t>(% of Base</w:t>
            </w:r>
          </w:p>
        </w:tc>
        <w:tc>
          <w:tcPr>
            <w:tcW w:w="200" w:type="dxa"/>
            <w:vAlign w:val="bottom"/>
            <w:shd w:val="clear" w:color="auto" w:fill="212322"/>
          </w:tcPr>
          <w:p>
            <w:pPr>
              <w:spacing w:after="0"/>
              <w:rPr>
                <w:sz w:val="16"/>
                <w:szCs w:val="16"/>
                <w:color w:val="auto"/>
              </w:rPr>
            </w:pPr>
          </w:p>
        </w:tc>
        <w:tc>
          <w:tcPr>
            <w:tcW w:w="940" w:type="dxa"/>
            <w:vAlign w:val="bottom"/>
            <w:shd w:val="clear" w:color="auto" w:fill="212322"/>
          </w:tcPr>
          <w:p>
            <w:pPr>
              <w:ind w:left="180"/>
              <w:spacing w:after="0"/>
              <w:rPr>
                <w:sz w:val="20"/>
                <w:szCs w:val="20"/>
                <w:color w:val="auto"/>
              </w:rPr>
            </w:pPr>
            <w:r>
              <w:rPr>
                <w:rFonts w:ascii="Arial" w:cs="Arial" w:eastAsia="Arial" w:hAnsi="Arial"/>
                <w:sz w:val="14"/>
                <w:szCs w:val="14"/>
                <w:b w:val="1"/>
                <w:bCs w:val="1"/>
                <w:color w:val="FFFFFF"/>
              </w:rPr>
              <w:t>Target</w:t>
            </w:r>
          </w:p>
        </w:tc>
        <w:tc>
          <w:tcPr>
            <w:tcW w:w="240" w:type="dxa"/>
            <w:vAlign w:val="bottom"/>
            <w:shd w:val="clear" w:color="auto" w:fill="212322"/>
          </w:tcPr>
          <w:p>
            <w:pPr>
              <w:spacing w:after="0"/>
              <w:rPr>
                <w:sz w:val="16"/>
                <w:szCs w:val="16"/>
                <w:color w:val="auto"/>
              </w:rPr>
            </w:pPr>
          </w:p>
        </w:tc>
        <w:tc>
          <w:tcPr>
            <w:tcW w:w="900" w:type="dxa"/>
            <w:vAlign w:val="bottom"/>
            <w:gridSpan w:val="2"/>
            <w:shd w:val="clear" w:color="auto" w:fill="212322"/>
          </w:tcPr>
          <w:p>
            <w:pPr>
              <w:ind w:left="60"/>
              <w:spacing w:after="0"/>
              <w:rPr>
                <w:sz w:val="20"/>
                <w:szCs w:val="20"/>
                <w:color w:val="auto"/>
              </w:rPr>
            </w:pPr>
            <w:r>
              <w:rPr>
                <w:rFonts w:ascii="Arial" w:cs="Arial" w:eastAsia="Arial" w:hAnsi="Arial"/>
                <w:sz w:val="14"/>
                <w:szCs w:val="14"/>
                <w:b w:val="1"/>
                <w:bCs w:val="1"/>
                <w:color w:val="FFFFFF"/>
              </w:rPr>
              <w:t>of Target)</w:t>
            </w:r>
          </w:p>
        </w:tc>
        <w:tc>
          <w:tcPr>
            <w:tcW w:w="1020" w:type="dxa"/>
            <w:vAlign w:val="bottom"/>
            <w:gridSpan w:val="2"/>
            <w:shd w:val="clear" w:color="auto" w:fill="212322"/>
          </w:tcPr>
          <w:p>
            <w:pPr>
              <w:jc w:val="right"/>
              <w:ind w:right="60"/>
              <w:spacing w:after="0"/>
              <w:rPr>
                <w:sz w:val="20"/>
                <w:szCs w:val="20"/>
                <w:color w:val="auto"/>
              </w:rPr>
            </w:pPr>
            <w:r>
              <w:rPr>
                <w:rFonts w:ascii="Arial" w:cs="Arial" w:eastAsia="Arial" w:hAnsi="Arial"/>
                <w:sz w:val="14"/>
                <w:szCs w:val="14"/>
                <w:b w:val="1"/>
                <w:bCs w:val="1"/>
                <w:color w:val="FFFFFF"/>
              </w:rPr>
              <w:t>Actual Payout</w:t>
            </w:r>
          </w:p>
        </w:tc>
      </w:tr>
      <w:tr>
        <w:trPr>
          <w:trHeight w:val="216"/>
        </w:trPr>
        <w:tc>
          <w:tcPr>
            <w:tcW w:w="2360" w:type="dxa"/>
            <w:vAlign w:val="bottom"/>
            <w:gridSpan w:val="2"/>
            <w:shd w:val="clear" w:color="auto" w:fill="212322"/>
          </w:tcPr>
          <w:p>
            <w:pPr>
              <w:spacing w:after="0"/>
              <w:rPr>
                <w:sz w:val="20"/>
                <w:szCs w:val="20"/>
                <w:color w:val="auto"/>
              </w:rPr>
            </w:pPr>
            <w:r>
              <w:rPr>
                <w:rFonts w:ascii="Arial" w:cs="Arial" w:eastAsia="Arial" w:hAnsi="Arial"/>
                <w:sz w:val="14"/>
                <w:szCs w:val="14"/>
                <w:b w:val="1"/>
                <w:bCs w:val="1"/>
                <w:color w:val="FFFFFF"/>
              </w:rPr>
              <w:t>Name</w:t>
            </w:r>
          </w:p>
        </w:tc>
        <w:tc>
          <w:tcPr>
            <w:tcW w:w="2880" w:type="dxa"/>
            <w:vAlign w:val="bottom"/>
            <w:shd w:val="clear" w:color="auto" w:fill="212322"/>
          </w:tcPr>
          <w:p>
            <w:pPr>
              <w:jc w:val="right"/>
              <w:ind w:right="296"/>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212322"/>
          </w:tcPr>
          <w:p>
            <w:pPr>
              <w:spacing w:after="0"/>
              <w:rPr>
                <w:sz w:val="18"/>
                <w:szCs w:val="18"/>
                <w:color w:val="auto"/>
              </w:rPr>
            </w:pPr>
          </w:p>
        </w:tc>
        <w:tc>
          <w:tcPr>
            <w:tcW w:w="980" w:type="dxa"/>
            <w:vAlign w:val="bottom"/>
            <w:shd w:val="clear" w:color="auto" w:fill="212322"/>
          </w:tcPr>
          <w:p>
            <w:pPr>
              <w:jc w:val="right"/>
              <w:ind w:right="278"/>
              <w:spacing w:after="0"/>
              <w:rPr>
                <w:sz w:val="20"/>
                <w:szCs w:val="20"/>
                <w:color w:val="auto"/>
              </w:rPr>
            </w:pPr>
            <w:r>
              <w:rPr>
                <w:rFonts w:ascii="Arial" w:cs="Arial" w:eastAsia="Arial" w:hAnsi="Arial"/>
                <w:sz w:val="14"/>
                <w:szCs w:val="14"/>
                <w:b w:val="1"/>
                <w:bCs w:val="1"/>
                <w:color w:val="FFFFFF"/>
              </w:rPr>
              <w:t>Salary)</w:t>
            </w:r>
          </w:p>
        </w:tc>
        <w:tc>
          <w:tcPr>
            <w:tcW w:w="200" w:type="dxa"/>
            <w:vAlign w:val="bottom"/>
            <w:shd w:val="clear" w:color="auto" w:fill="212322"/>
          </w:tcPr>
          <w:p>
            <w:pPr>
              <w:spacing w:after="0"/>
              <w:rPr>
                <w:sz w:val="18"/>
                <w:szCs w:val="18"/>
                <w:color w:val="auto"/>
              </w:rPr>
            </w:pPr>
          </w:p>
        </w:tc>
        <w:tc>
          <w:tcPr>
            <w:tcW w:w="940" w:type="dxa"/>
            <w:vAlign w:val="bottom"/>
            <w:shd w:val="clear" w:color="auto" w:fill="212322"/>
          </w:tcPr>
          <w:p>
            <w:pPr>
              <w:jc w:val="right"/>
              <w:ind w:right="353"/>
              <w:spacing w:after="0"/>
              <w:rPr>
                <w:sz w:val="20"/>
                <w:szCs w:val="20"/>
                <w:color w:val="auto"/>
              </w:rPr>
            </w:pPr>
            <w:r>
              <w:rPr>
                <w:rFonts w:ascii="Arial" w:cs="Arial" w:eastAsia="Arial" w:hAnsi="Arial"/>
                <w:sz w:val="14"/>
                <w:szCs w:val="14"/>
                <w:b w:val="1"/>
                <w:bCs w:val="1"/>
                <w:color w:val="FFFFFF"/>
              </w:rPr>
              <w:t>($)</w:t>
            </w:r>
          </w:p>
        </w:tc>
        <w:tc>
          <w:tcPr>
            <w:tcW w:w="240" w:type="dxa"/>
            <w:vAlign w:val="bottom"/>
            <w:shd w:val="clear" w:color="auto" w:fill="212322"/>
          </w:tcPr>
          <w:p>
            <w:pPr>
              <w:spacing w:after="0"/>
              <w:rPr>
                <w:sz w:val="18"/>
                <w:szCs w:val="18"/>
                <w:color w:val="auto"/>
              </w:rPr>
            </w:pPr>
          </w:p>
        </w:tc>
        <w:tc>
          <w:tcPr>
            <w:tcW w:w="180" w:type="dxa"/>
            <w:vAlign w:val="bottom"/>
            <w:shd w:val="clear" w:color="auto" w:fill="212322"/>
          </w:tcPr>
          <w:p>
            <w:pPr>
              <w:spacing w:after="0"/>
              <w:rPr>
                <w:sz w:val="18"/>
                <w:szCs w:val="18"/>
                <w:color w:val="auto"/>
              </w:rPr>
            </w:pPr>
          </w:p>
        </w:tc>
        <w:tc>
          <w:tcPr>
            <w:tcW w:w="720" w:type="dxa"/>
            <w:vAlign w:val="bottom"/>
            <w:shd w:val="clear" w:color="auto" w:fill="212322"/>
          </w:tcPr>
          <w:p>
            <w:pPr>
              <w:jc w:val="right"/>
              <w:ind w:right="352"/>
              <w:spacing w:after="0"/>
              <w:rPr>
                <w:sz w:val="20"/>
                <w:szCs w:val="20"/>
                <w:color w:val="auto"/>
              </w:rPr>
            </w:pPr>
            <w:r>
              <w:rPr>
                <w:rFonts w:ascii="Arial" w:cs="Arial" w:eastAsia="Arial" w:hAnsi="Arial"/>
                <w:sz w:val="14"/>
                <w:szCs w:val="14"/>
                <w:b w:val="1"/>
                <w:bCs w:val="1"/>
                <w:color w:val="FFFFFF"/>
              </w:rPr>
              <w:t>($)</w:t>
            </w:r>
          </w:p>
        </w:tc>
        <w:tc>
          <w:tcPr>
            <w:tcW w:w="1020" w:type="dxa"/>
            <w:vAlign w:val="bottom"/>
            <w:gridSpan w:val="2"/>
            <w:shd w:val="clear" w:color="auto" w:fill="212322"/>
          </w:tcPr>
          <w:p>
            <w:pPr>
              <w:jc w:val="right"/>
              <w:ind w:right="420"/>
              <w:spacing w:after="0"/>
              <w:rPr>
                <w:sz w:val="20"/>
                <w:szCs w:val="20"/>
                <w:color w:val="auto"/>
              </w:rPr>
            </w:pPr>
            <w:r>
              <w:rPr>
                <w:rFonts w:ascii="Arial" w:cs="Arial" w:eastAsia="Arial" w:hAnsi="Arial"/>
                <w:sz w:val="14"/>
                <w:szCs w:val="14"/>
                <w:b w:val="1"/>
                <w:bCs w:val="1"/>
                <w:color w:val="FFFFFF"/>
              </w:rPr>
              <w:t>($)</w:t>
            </w:r>
          </w:p>
        </w:tc>
      </w:tr>
      <w:tr>
        <w:trPr>
          <w:trHeight w:val="243"/>
        </w:trPr>
        <w:tc>
          <w:tcPr>
            <w:tcW w:w="23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b w:val="1"/>
                <w:bCs w:val="1"/>
                <w:color w:val="F37F00"/>
              </w:rPr>
              <w:t>Philip B. Daniele, III</w:t>
            </w:r>
          </w:p>
        </w:tc>
        <w:tc>
          <w:tcPr>
            <w:tcW w:w="2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1,169,231</w:t>
            </w:r>
          </w:p>
        </w:tc>
        <w:tc>
          <w:tcPr>
            <w:tcW w:w="20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130.0 %</w:t>
            </w:r>
          </w:p>
        </w:tc>
        <w:tc>
          <w:tcPr>
            <w:tcW w:w="20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jc w:val="right"/>
              <w:ind w:right="53"/>
              <w:spacing w:after="0"/>
              <w:rPr>
                <w:sz w:val="20"/>
                <w:szCs w:val="20"/>
                <w:color w:val="auto"/>
              </w:rPr>
            </w:pPr>
            <w:r>
              <w:rPr>
                <w:rFonts w:ascii="Arial" w:cs="Arial" w:eastAsia="Arial" w:hAnsi="Arial"/>
                <w:sz w:val="18"/>
                <w:szCs w:val="18"/>
                <w:color w:val="202124"/>
                <w:w w:val="97"/>
              </w:rPr>
              <w:t>1,520,000</w:t>
            </w:r>
          </w:p>
        </w:tc>
        <w:tc>
          <w:tcPr>
            <w:tcW w:w="24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202124"/>
              </w:rPr>
              <w:t>1,607,097</w:t>
            </w:r>
          </w:p>
        </w:tc>
        <w:tc>
          <w:tcPr>
            <w:tcW w:w="102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8"/>
                <w:szCs w:val="18"/>
                <w:color w:val="202124"/>
              </w:rPr>
              <w:t>1,607,097</w:t>
            </w:r>
          </w:p>
        </w:tc>
      </w:tr>
      <w:tr>
        <w:trPr>
          <w:trHeight w:val="236"/>
        </w:trPr>
        <w:tc>
          <w:tcPr>
            <w:tcW w:w="23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b w:val="1"/>
                <w:bCs w:val="1"/>
                <w:color w:val="F37F00"/>
              </w:rPr>
              <w:t>Jamere Jackson</w:t>
            </w:r>
          </w:p>
        </w:tc>
        <w:tc>
          <w:tcPr>
            <w:tcW w:w="2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823,539</w:t>
            </w:r>
          </w:p>
        </w:tc>
        <w:tc>
          <w:tcPr>
            <w:tcW w:w="20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100.0 %</w:t>
            </w:r>
          </w:p>
        </w:tc>
        <w:tc>
          <w:tcPr>
            <w:tcW w:w="20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jc w:val="right"/>
              <w:ind w:right="53"/>
              <w:spacing w:after="0"/>
              <w:rPr>
                <w:sz w:val="20"/>
                <w:szCs w:val="20"/>
                <w:color w:val="auto"/>
              </w:rPr>
            </w:pPr>
            <w:r>
              <w:rPr>
                <w:rFonts w:ascii="Arial" w:cs="Arial" w:eastAsia="Arial" w:hAnsi="Arial"/>
                <w:sz w:val="18"/>
                <w:szCs w:val="18"/>
                <w:color w:val="202124"/>
              </w:rPr>
              <w:t>823,539</w:t>
            </w:r>
          </w:p>
        </w:tc>
        <w:tc>
          <w:tcPr>
            <w:tcW w:w="2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w w:val="98"/>
              </w:rPr>
              <w:t>870,728</w:t>
            </w:r>
          </w:p>
        </w:tc>
        <w:tc>
          <w:tcPr>
            <w:tcW w:w="102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8"/>
                <w:szCs w:val="18"/>
                <w:color w:val="202124"/>
              </w:rPr>
              <w:t>870,728</w:t>
            </w:r>
          </w:p>
        </w:tc>
      </w:tr>
      <w:tr>
        <w:trPr>
          <w:trHeight w:val="237"/>
        </w:trPr>
        <w:tc>
          <w:tcPr>
            <w:tcW w:w="23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b w:val="1"/>
                <w:bCs w:val="1"/>
                <w:color w:val="F37F00"/>
              </w:rPr>
              <w:t>Thomas B. Newbern</w:t>
            </w:r>
          </w:p>
        </w:tc>
        <w:tc>
          <w:tcPr>
            <w:tcW w:w="2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823,539</w:t>
            </w:r>
          </w:p>
        </w:tc>
        <w:tc>
          <w:tcPr>
            <w:tcW w:w="20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100.0 %</w:t>
            </w:r>
          </w:p>
        </w:tc>
        <w:tc>
          <w:tcPr>
            <w:tcW w:w="20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jc w:val="right"/>
              <w:ind w:right="53"/>
              <w:spacing w:after="0"/>
              <w:rPr>
                <w:sz w:val="20"/>
                <w:szCs w:val="20"/>
                <w:color w:val="auto"/>
              </w:rPr>
            </w:pPr>
            <w:r>
              <w:rPr>
                <w:rFonts w:ascii="Arial" w:cs="Arial" w:eastAsia="Arial" w:hAnsi="Arial"/>
                <w:sz w:val="18"/>
                <w:szCs w:val="18"/>
                <w:color w:val="202124"/>
              </w:rPr>
              <w:t>823,539</w:t>
            </w:r>
          </w:p>
        </w:tc>
        <w:tc>
          <w:tcPr>
            <w:tcW w:w="2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w w:val="98"/>
              </w:rPr>
              <w:t>870,728</w:t>
            </w:r>
          </w:p>
        </w:tc>
        <w:tc>
          <w:tcPr>
            <w:tcW w:w="102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8"/>
                <w:szCs w:val="18"/>
                <w:color w:val="202124"/>
              </w:rPr>
              <w:t>870,728</w:t>
            </w:r>
          </w:p>
        </w:tc>
      </w:tr>
      <w:tr>
        <w:trPr>
          <w:trHeight w:val="237"/>
        </w:trPr>
        <w:tc>
          <w:tcPr>
            <w:tcW w:w="23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b w:val="1"/>
                <w:bCs w:val="1"/>
                <w:color w:val="F37F00"/>
              </w:rPr>
              <w:t>Eric S. Gould</w:t>
            </w:r>
          </w:p>
        </w:tc>
        <w:tc>
          <w:tcPr>
            <w:tcW w:w="2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520,000</w:t>
            </w:r>
          </w:p>
        </w:tc>
        <w:tc>
          <w:tcPr>
            <w:tcW w:w="20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75.0 %</w:t>
            </w:r>
          </w:p>
        </w:tc>
        <w:tc>
          <w:tcPr>
            <w:tcW w:w="20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jc w:val="right"/>
              <w:ind w:right="53"/>
              <w:spacing w:after="0"/>
              <w:rPr>
                <w:sz w:val="20"/>
                <w:szCs w:val="20"/>
                <w:color w:val="auto"/>
              </w:rPr>
            </w:pPr>
            <w:r>
              <w:rPr>
                <w:rFonts w:ascii="Arial" w:cs="Arial" w:eastAsia="Arial" w:hAnsi="Arial"/>
                <w:sz w:val="18"/>
                <w:szCs w:val="18"/>
                <w:color w:val="202124"/>
              </w:rPr>
              <w:t>390,000</w:t>
            </w:r>
          </w:p>
        </w:tc>
        <w:tc>
          <w:tcPr>
            <w:tcW w:w="2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w w:val="98"/>
              </w:rPr>
              <w:t>412,347</w:t>
            </w:r>
          </w:p>
        </w:tc>
        <w:tc>
          <w:tcPr>
            <w:tcW w:w="102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8"/>
                <w:szCs w:val="18"/>
                <w:color w:val="202124"/>
              </w:rPr>
              <w:t>412,347</w:t>
            </w:r>
          </w:p>
        </w:tc>
      </w:tr>
      <w:tr>
        <w:trPr>
          <w:trHeight w:val="257"/>
        </w:trPr>
        <w:tc>
          <w:tcPr>
            <w:tcW w:w="2360" w:type="dxa"/>
            <w:vAlign w:val="bottom"/>
            <w:tcBorders>
              <w:bottom w:val="single" w:sz="8" w:color="202124"/>
            </w:tcBorders>
            <w:gridSpan w:val="2"/>
          </w:tcPr>
          <w:p>
            <w:pPr>
              <w:spacing w:after="0"/>
              <w:rPr>
                <w:sz w:val="20"/>
                <w:szCs w:val="20"/>
                <w:color w:val="auto"/>
              </w:rPr>
            </w:pPr>
            <w:r>
              <w:rPr>
                <w:rFonts w:ascii="Arial" w:cs="Arial" w:eastAsia="Arial" w:hAnsi="Arial"/>
                <w:sz w:val="18"/>
                <w:szCs w:val="18"/>
                <w:b w:val="1"/>
                <w:bCs w:val="1"/>
                <w:color w:val="F37F00"/>
              </w:rPr>
              <w:t>Kenneth E. Jaycox, Jr.</w:t>
            </w:r>
          </w:p>
        </w:tc>
        <w:tc>
          <w:tcPr>
            <w:tcW w:w="288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508,462</w:t>
            </w:r>
          </w:p>
        </w:tc>
        <w:tc>
          <w:tcPr>
            <w:tcW w:w="200" w:type="dxa"/>
            <w:vAlign w:val="bottom"/>
            <w:tcBorders>
              <w:bottom w:val="single" w:sz="8" w:color="202124"/>
            </w:tcBorders>
          </w:tcPr>
          <w:p>
            <w:pPr>
              <w:spacing w:after="0"/>
              <w:rPr>
                <w:sz w:val="22"/>
                <w:szCs w:val="22"/>
                <w:color w:val="auto"/>
              </w:rPr>
            </w:pPr>
          </w:p>
        </w:tc>
        <w:tc>
          <w:tcPr>
            <w:tcW w:w="98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60.0 %</w:t>
            </w:r>
          </w:p>
        </w:tc>
        <w:tc>
          <w:tcPr>
            <w:tcW w:w="200" w:type="dxa"/>
            <w:vAlign w:val="bottom"/>
            <w:tcBorders>
              <w:bottom w:val="single" w:sz="8" w:color="202124"/>
            </w:tcBorders>
          </w:tcPr>
          <w:p>
            <w:pPr>
              <w:spacing w:after="0"/>
              <w:rPr>
                <w:sz w:val="22"/>
                <w:szCs w:val="22"/>
                <w:color w:val="auto"/>
              </w:rPr>
            </w:pPr>
          </w:p>
        </w:tc>
        <w:tc>
          <w:tcPr>
            <w:tcW w:w="940" w:type="dxa"/>
            <w:vAlign w:val="bottom"/>
            <w:tcBorders>
              <w:bottom w:val="single" w:sz="8" w:color="202124"/>
            </w:tcBorders>
          </w:tcPr>
          <w:p>
            <w:pPr>
              <w:jc w:val="right"/>
              <w:ind w:right="53"/>
              <w:spacing w:after="0"/>
              <w:rPr>
                <w:sz w:val="20"/>
                <w:szCs w:val="20"/>
                <w:color w:val="auto"/>
              </w:rPr>
            </w:pPr>
            <w:r>
              <w:rPr>
                <w:rFonts w:ascii="Arial" w:cs="Arial" w:eastAsia="Arial" w:hAnsi="Arial"/>
                <w:sz w:val="18"/>
                <w:szCs w:val="18"/>
                <w:color w:val="202124"/>
              </w:rPr>
              <w:t>305,077</w:t>
            </w:r>
          </w:p>
        </w:tc>
        <w:tc>
          <w:tcPr>
            <w:tcW w:w="240" w:type="dxa"/>
            <w:vAlign w:val="bottom"/>
            <w:tcBorders>
              <w:bottom w:val="single" w:sz="8" w:color="202124"/>
            </w:tcBorders>
          </w:tcPr>
          <w:p>
            <w:pPr>
              <w:spacing w:after="0"/>
              <w:rPr>
                <w:sz w:val="22"/>
                <w:szCs w:val="22"/>
                <w:color w:val="auto"/>
              </w:rPr>
            </w:pPr>
          </w:p>
        </w:tc>
        <w:tc>
          <w:tcPr>
            <w:tcW w:w="180" w:type="dxa"/>
            <w:vAlign w:val="bottom"/>
            <w:tcBorders>
              <w:bottom w:val="single" w:sz="8" w:color="202124"/>
            </w:tcBorders>
          </w:tcPr>
          <w:p>
            <w:pPr>
              <w:spacing w:after="0"/>
              <w:rPr>
                <w:sz w:val="22"/>
                <w:szCs w:val="22"/>
                <w:color w:val="auto"/>
              </w:rPr>
            </w:pPr>
          </w:p>
        </w:tc>
        <w:tc>
          <w:tcPr>
            <w:tcW w:w="72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w w:val="98"/>
              </w:rPr>
              <w:t>322,558</w:t>
            </w:r>
          </w:p>
        </w:tc>
        <w:tc>
          <w:tcPr>
            <w:tcW w:w="1020" w:type="dxa"/>
            <w:vAlign w:val="bottom"/>
            <w:tcBorders>
              <w:bottom w:val="single" w:sz="8" w:color="202124"/>
            </w:tcBorders>
            <w:gridSpan w:val="2"/>
          </w:tcPr>
          <w:p>
            <w:pPr>
              <w:jc w:val="right"/>
              <w:ind w:right="40"/>
              <w:spacing w:after="0"/>
              <w:rPr>
                <w:sz w:val="20"/>
                <w:szCs w:val="20"/>
                <w:color w:val="auto"/>
              </w:rPr>
            </w:pPr>
            <w:r>
              <w:rPr>
                <w:rFonts w:ascii="Arial" w:cs="Arial" w:eastAsia="Arial" w:hAnsi="Arial"/>
                <w:sz w:val="18"/>
                <w:szCs w:val="18"/>
                <w:color w:val="202124"/>
              </w:rPr>
              <w:t>322,558</w:t>
            </w:r>
          </w:p>
        </w:tc>
      </w:tr>
    </w:tbl>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LONG-TERM INCENTIVE PLAN</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For FY26, all executive officers were awarded long-term incentives under the 2020 AutoZone, Inc. Omnibus Incentive</w:t>
      </w:r>
    </w:p>
    <w:p>
      <w:pPr>
        <w:spacing w:after="0" w:line="14" w:lineRule="exact"/>
        <w:rPr>
          <w:sz w:val="20"/>
          <w:szCs w:val="20"/>
          <w:color w:val="auto"/>
        </w:rPr>
      </w:pPr>
    </w:p>
    <w:p>
      <w:pPr>
        <w:ind w:left="640" w:right="280"/>
        <w:spacing w:after="0" w:line="237" w:lineRule="auto"/>
        <w:rPr>
          <w:sz w:val="20"/>
          <w:szCs w:val="20"/>
          <w:color w:val="auto"/>
        </w:rPr>
      </w:pPr>
      <w:r>
        <w:rPr>
          <w:rFonts w:ascii="Arial" w:cs="Arial" w:eastAsia="Arial" w:hAnsi="Arial"/>
          <w:sz w:val="18"/>
          <w:szCs w:val="18"/>
          <w:color w:val="202124"/>
        </w:rPr>
        <w:t>Award Plan in the form of stock options. These equity awards are granted to drive long-term performance by rewarding value creation from stock price appreciation.</w:t>
      </w:r>
    </w:p>
    <w:p>
      <w:pPr>
        <w:spacing w:after="0" w:line="32" w:lineRule="exact"/>
        <w:rPr>
          <w:sz w:val="20"/>
          <w:szCs w:val="20"/>
          <w:color w:val="auto"/>
        </w:rPr>
      </w:pPr>
    </w:p>
    <w:p>
      <w:pPr>
        <w:ind w:left="640" w:right="20"/>
        <w:spacing w:after="0" w:line="245" w:lineRule="auto"/>
        <w:rPr>
          <w:sz w:val="20"/>
          <w:szCs w:val="20"/>
          <w:color w:val="auto"/>
        </w:rPr>
      </w:pPr>
      <w:r>
        <w:rPr>
          <w:rFonts w:ascii="Arial" w:cs="Arial" w:eastAsia="Arial" w:hAnsi="Arial"/>
          <w:sz w:val="18"/>
          <w:szCs w:val="18"/>
          <w:color w:val="202124"/>
        </w:rPr>
        <w:t>As with other elements of executive compensation, the Compensation Committee annually reviews the design of the long-term incentive plan to ensure it remains effective and in furtherance of the Guiding Principles. While the Compensation</w:t>
      </w:r>
    </w:p>
    <w:p>
      <w:pPr>
        <w:ind w:left="640" w:right="420"/>
        <w:spacing w:after="0" w:line="237" w:lineRule="auto"/>
        <w:rPr>
          <w:sz w:val="20"/>
          <w:szCs w:val="20"/>
          <w:color w:val="auto"/>
        </w:rPr>
      </w:pPr>
      <w:r>
        <w:rPr>
          <w:rFonts w:ascii="Arial" w:cs="Arial" w:eastAsia="Arial" w:hAnsi="Arial"/>
          <w:sz w:val="18"/>
          <w:szCs w:val="18"/>
          <w:color w:val="202124"/>
        </w:rPr>
        <w:t>Committee has traditionally granted long-term compensation in the form of stock options, the Committee continues to evaluate the efficacy of stock options against other potential equity vehicles, primarily performance share units.</w:t>
      </w:r>
    </w:p>
    <w:p>
      <w:pPr>
        <w:spacing w:after="0" w:line="113" w:lineRule="exact"/>
        <w:rPr>
          <w:sz w:val="20"/>
          <w:szCs w:val="20"/>
          <w:color w:val="auto"/>
        </w:rPr>
      </w:pPr>
    </w:p>
    <w:p>
      <w:pPr>
        <w:ind w:left="1320" w:right="880" w:hanging="325"/>
        <w:spacing w:after="0" w:line="255" w:lineRule="auto"/>
        <w:tabs>
          <w:tab w:leader="none" w:pos="1320" w:val="left"/>
        </w:tabs>
        <w:numPr>
          <w:ilvl w:val="0"/>
          <w:numId w:val="85"/>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Performance Metrics</w:t>
      </w:r>
      <w:r>
        <w:rPr>
          <w:rFonts w:ascii="Arial" w:cs="Arial" w:eastAsia="Arial" w:hAnsi="Arial"/>
          <w:sz w:val="18"/>
          <w:szCs w:val="18"/>
          <w:color w:val="202124"/>
        </w:rPr>
        <w:t>. Stock options directly align management’s interest with the long-term interests of stockholders by awarding value upon stock price appreciation and long-term value creation.</w:t>
      </w:r>
    </w:p>
    <w:p>
      <w:pPr>
        <w:spacing w:after="0" w:line="85" w:lineRule="exact"/>
        <w:rPr>
          <w:rFonts w:ascii="Times New Roman" w:cs="Times New Roman" w:eastAsia="Times New Roman" w:hAnsi="Times New Roman"/>
          <w:sz w:val="18"/>
          <w:szCs w:val="18"/>
          <w:color w:val="F37F00"/>
        </w:rPr>
      </w:pPr>
    </w:p>
    <w:p>
      <w:pPr>
        <w:ind w:left="1320" w:right="180" w:hanging="325"/>
        <w:spacing w:after="0" w:line="239" w:lineRule="auto"/>
        <w:tabs>
          <w:tab w:leader="none" w:pos="1320" w:val="left"/>
        </w:tabs>
        <w:numPr>
          <w:ilvl w:val="0"/>
          <w:numId w:val="85"/>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Term</w:t>
      </w:r>
      <w:r>
        <w:rPr>
          <w:rFonts w:ascii="Arial" w:cs="Arial" w:eastAsia="Arial" w:hAnsi="Arial"/>
          <w:sz w:val="18"/>
          <w:szCs w:val="18"/>
          <w:color w:val="202124"/>
        </w:rPr>
        <w:t>. The 10-year term of stock options necessarily incents management to focus on a six to eight year performance period when options typically reach their greatest value. By contrast, performance share units typically carry a three or four year performance period. Because of the success of the stock option program and success of company our option holders have held longer than typical which further reinforces the benefits, including a tax benefit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55</w:t>
            </w:r>
          </w:p>
        </w:tc>
      </w:tr>
    </w:tbl>
    <w:p>
      <w:pPr>
        <w:sectPr>
          <w:pgSz w:w="11900" w:h="16838" w:orient="portrait"/>
          <w:cols w:equalWidth="0" w:num="1">
            <w:col w:w="10360"/>
          </w:cols>
          <w:pgMar w:left="440" w:top="106" w:right="1099" w:bottom="1440" w:gutter="0" w:footer="0" w:header="0"/>
        </w:sectPr>
      </w:pPr>
    </w:p>
    <w:bookmarkStart w:id="58" w:name="page59"/>
    <w:bookmarkEnd w:id="5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40" w:hanging="325"/>
        <w:spacing w:after="0" w:line="236" w:lineRule="auto"/>
        <w:tabs>
          <w:tab w:leader="none" w:pos="1320" w:val="left"/>
        </w:tabs>
        <w:numPr>
          <w:ilvl w:val="0"/>
          <w:numId w:val="86"/>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Resilience</w:t>
      </w:r>
      <w:r>
        <w:rPr>
          <w:rFonts w:ascii="Arial" w:cs="Arial" w:eastAsia="Arial" w:hAnsi="Arial"/>
          <w:sz w:val="18"/>
          <w:szCs w:val="18"/>
          <w:color w:val="202124"/>
        </w:rPr>
        <w:t>. Unlike shorter-term awards, which can present boards with difficult decisions, such as whether to exercise discretion, modify awards, modify performance metrics or lose good talent, in times of economic distress or market disruption, the long-term nature of stock options is more resilient to extreme and unpredictable volatility caused by macroeconomic factors, thus encouraging management to focus solely on the best interests of the Company and its stockholders.</w:t>
      </w:r>
    </w:p>
    <w:p>
      <w:pPr>
        <w:spacing w:after="0" w:line="142" w:lineRule="exact"/>
        <w:rPr>
          <w:rFonts w:ascii="Times New Roman" w:cs="Times New Roman" w:eastAsia="Times New Roman" w:hAnsi="Times New Roman"/>
          <w:sz w:val="18"/>
          <w:szCs w:val="18"/>
          <w:color w:val="F37F00"/>
        </w:rPr>
      </w:pPr>
    </w:p>
    <w:p>
      <w:pPr>
        <w:ind w:left="1320" w:right="240" w:hanging="325"/>
        <w:spacing w:after="0" w:line="239" w:lineRule="auto"/>
        <w:tabs>
          <w:tab w:leader="none" w:pos="1320" w:val="left"/>
        </w:tabs>
        <w:numPr>
          <w:ilvl w:val="0"/>
          <w:numId w:val="86"/>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Retention</w:t>
      </w:r>
      <w:r>
        <w:rPr>
          <w:rFonts w:ascii="Arial" w:cs="Arial" w:eastAsia="Arial" w:hAnsi="Arial"/>
          <w:sz w:val="18"/>
          <w:szCs w:val="18"/>
          <w:color w:val="202124"/>
        </w:rPr>
        <w:t>. Turnover of executive officers, after excluding departures due to retirement or performance, remain below market. Additionally, because retirement-eligible executives (as defined in the applicable plan) may continue to vest and retain option awards for the entire term, these executives are further incented to develop organizational talent, facilitate succession planning and transfer institutional knowledge. This ensures the long-term stability and growth of the organization even after the individual’s retirement.</w:t>
      </w:r>
    </w:p>
    <w:p>
      <w:pPr>
        <w:spacing w:after="0" w:line="129" w:lineRule="exact"/>
        <w:rPr>
          <w:rFonts w:ascii="Times New Roman" w:cs="Times New Roman" w:eastAsia="Times New Roman" w:hAnsi="Times New Roman"/>
          <w:sz w:val="18"/>
          <w:szCs w:val="18"/>
          <w:color w:val="F37F00"/>
        </w:rPr>
      </w:pPr>
    </w:p>
    <w:p>
      <w:pPr>
        <w:ind w:left="1320" w:right="160" w:hanging="325"/>
        <w:spacing w:after="0" w:line="236" w:lineRule="auto"/>
        <w:tabs>
          <w:tab w:leader="none" w:pos="1320" w:val="left"/>
        </w:tabs>
        <w:numPr>
          <w:ilvl w:val="0"/>
          <w:numId w:val="86"/>
        </w:numPr>
        <w:rPr>
          <w:rFonts w:ascii="Times New Roman" w:cs="Times New Roman" w:eastAsia="Times New Roman" w:hAnsi="Times New Roman"/>
          <w:sz w:val="18"/>
          <w:szCs w:val="18"/>
          <w:color w:val="F37F00"/>
        </w:rPr>
      </w:pPr>
      <w:r>
        <w:rPr>
          <w:rFonts w:ascii="Arial" w:cs="Arial" w:eastAsia="Arial" w:hAnsi="Arial"/>
          <w:sz w:val="18"/>
          <w:szCs w:val="18"/>
          <w:u w:val="single" w:color="auto"/>
          <w:color w:val="202124"/>
        </w:rPr>
        <w:t>Prevalence</w:t>
      </w:r>
      <w:r>
        <w:rPr>
          <w:rFonts w:ascii="Arial" w:cs="Arial" w:eastAsia="Arial" w:hAnsi="Arial"/>
          <w:sz w:val="18"/>
          <w:szCs w:val="18"/>
          <w:color w:val="202124"/>
        </w:rPr>
        <w:t>. Stock options are less prevalent in today’s market. In some instances, stock options are disfavored because they are too rigorous (i.e., companies are unable to deliver long-term growth making stock options the less valuable instrument or even causing them to be worthless). Some constituents disfavor stock options because they are not rigorous enough (i.e., it is argued they are not performance-based). Additionally, stock options are disfavored by some management teams who have had experience with underwater stock options or teams who don’t see a path to considerable future value creation. Our Board and management team believe in and want to incentivize our management team to continue to deliver exceptional performance.</w:t>
      </w:r>
    </w:p>
    <w:p>
      <w:pPr>
        <w:spacing w:after="0" w:line="154" w:lineRule="exact"/>
        <w:rPr>
          <w:sz w:val="20"/>
          <w:szCs w:val="20"/>
          <w:color w:val="auto"/>
        </w:rPr>
      </w:pPr>
    </w:p>
    <w:p>
      <w:pPr>
        <w:ind w:left="640" w:right="860"/>
        <w:spacing w:after="0" w:line="251" w:lineRule="auto"/>
        <w:rPr>
          <w:sz w:val="20"/>
          <w:szCs w:val="20"/>
          <w:color w:val="auto"/>
        </w:rPr>
      </w:pPr>
      <w:r>
        <w:rPr>
          <w:rFonts w:ascii="Arial" w:cs="Arial" w:eastAsia="Arial" w:hAnsi="Arial"/>
          <w:sz w:val="17"/>
          <w:szCs w:val="17"/>
          <w:color w:val="202124"/>
        </w:rPr>
        <w:t xml:space="preserve">After considering the factors above, </w:t>
      </w:r>
      <w:r>
        <w:rPr>
          <w:rFonts w:ascii="Arial" w:cs="Arial" w:eastAsia="Arial" w:hAnsi="Arial"/>
          <w:sz w:val="17"/>
          <w:szCs w:val="17"/>
          <w:b w:val="1"/>
          <w:bCs w:val="1"/>
          <w:color w:val="202124"/>
        </w:rPr>
        <w:t>the Committee contends that stock options are the most appropriate</w:t>
      </w:r>
      <w:r>
        <w:rPr>
          <w:rFonts w:ascii="Arial" w:cs="Arial" w:eastAsia="Arial" w:hAnsi="Arial"/>
          <w:sz w:val="17"/>
          <w:szCs w:val="17"/>
          <w:color w:val="202124"/>
        </w:rPr>
        <w:t xml:space="preserve"> </w:t>
      </w:r>
      <w:r>
        <w:rPr>
          <w:rFonts w:ascii="Arial" w:cs="Arial" w:eastAsia="Arial" w:hAnsi="Arial"/>
          <w:sz w:val="17"/>
          <w:szCs w:val="17"/>
          <w:b w:val="1"/>
          <w:bCs w:val="1"/>
          <w:color w:val="202124"/>
        </w:rPr>
        <w:t xml:space="preserve">performance-based equity vehicle </w:t>
      </w:r>
      <w:r>
        <w:rPr>
          <w:rFonts w:ascii="Arial" w:cs="Arial" w:eastAsia="Arial" w:hAnsi="Arial"/>
          <w:sz w:val="17"/>
          <w:szCs w:val="17"/>
          <w:color w:val="202124"/>
        </w:rPr>
        <w:t>for AutoZone’s leadership team and in the best interests of the Company’s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stockholders.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Also, when considering the efficacy of stock options, the Committee observed the following:</w:t>
      </w:r>
    </w:p>
    <w:p>
      <w:pPr>
        <w:spacing w:after="0" w:line="171" w:lineRule="exact"/>
        <w:rPr>
          <w:sz w:val="20"/>
          <w:szCs w:val="20"/>
          <w:color w:val="auto"/>
        </w:rPr>
      </w:pPr>
    </w:p>
    <w:p>
      <w:pPr>
        <w:ind w:left="1320" w:hanging="325"/>
        <w:spacing w:after="0"/>
        <w:tabs>
          <w:tab w:leader="none" w:pos="1320" w:val="left"/>
        </w:tabs>
        <w:numPr>
          <w:ilvl w:val="0"/>
          <w:numId w:val="87"/>
        </w:numPr>
        <w:rPr>
          <w:rFonts w:ascii="Times New Roman" w:cs="Times New Roman" w:eastAsia="Times New Roman" w:hAnsi="Times New Roman"/>
          <w:sz w:val="18"/>
          <w:szCs w:val="18"/>
          <w:color w:val="F37F00"/>
        </w:rPr>
      </w:pPr>
      <w:r>
        <w:rPr>
          <w:rFonts w:ascii="Arial" w:cs="Arial" w:eastAsia="Arial" w:hAnsi="Arial"/>
          <w:sz w:val="18"/>
          <w:szCs w:val="18"/>
          <w:color w:val="202124"/>
        </w:rPr>
        <w:t>The Company’s burn rate remains at the median of the Peer Group.</w:t>
      </w:r>
    </w:p>
    <w:p>
      <w:pPr>
        <w:spacing w:after="0" w:line="170" w:lineRule="exact"/>
        <w:rPr>
          <w:rFonts w:ascii="Times New Roman" w:cs="Times New Roman" w:eastAsia="Times New Roman" w:hAnsi="Times New Roman"/>
          <w:sz w:val="18"/>
          <w:szCs w:val="18"/>
          <w:color w:val="F37F00"/>
        </w:rPr>
      </w:pPr>
    </w:p>
    <w:p>
      <w:pPr>
        <w:ind w:left="1320" w:right="140" w:hanging="325"/>
        <w:spacing w:after="0" w:line="270" w:lineRule="auto"/>
        <w:tabs>
          <w:tab w:leader="none" w:pos="1320" w:val="left"/>
        </w:tabs>
        <w:numPr>
          <w:ilvl w:val="0"/>
          <w:numId w:val="87"/>
        </w:numPr>
        <w:rPr>
          <w:rFonts w:ascii="Times New Roman" w:cs="Times New Roman" w:eastAsia="Times New Roman" w:hAnsi="Times New Roman"/>
          <w:sz w:val="18"/>
          <w:szCs w:val="18"/>
          <w:color w:val="F37F00"/>
        </w:rPr>
      </w:pPr>
      <w:r>
        <w:rPr>
          <w:rFonts w:ascii="Arial" w:cs="Arial" w:eastAsia="Arial" w:hAnsi="Arial"/>
          <w:sz w:val="18"/>
          <w:szCs w:val="18"/>
          <w:color w:val="202124"/>
        </w:rPr>
        <w:t>The Company’s long-term performance, as measured by total shareholder return over the last ten years is in the top quartile compared to its Peer Group.</w:t>
      </w:r>
    </w:p>
    <w:p>
      <w:pPr>
        <w:spacing w:after="0" w:line="113" w:lineRule="exact"/>
        <w:rPr>
          <w:rFonts w:ascii="Times New Roman" w:cs="Times New Roman" w:eastAsia="Times New Roman" w:hAnsi="Times New Roman"/>
          <w:sz w:val="18"/>
          <w:szCs w:val="18"/>
          <w:color w:val="F37F00"/>
        </w:rPr>
      </w:pPr>
    </w:p>
    <w:p>
      <w:pPr>
        <w:ind w:left="1320" w:hanging="325"/>
        <w:spacing w:after="0" w:line="244" w:lineRule="auto"/>
        <w:tabs>
          <w:tab w:leader="none" w:pos="1320" w:val="left"/>
        </w:tabs>
        <w:numPr>
          <w:ilvl w:val="0"/>
          <w:numId w:val="87"/>
        </w:numPr>
        <w:rPr>
          <w:rFonts w:ascii="Times New Roman" w:cs="Times New Roman" w:eastAsia="Times New Roman" w:hAnsi="Times New Roman"/>
          <w:sz w:val="18"/>
          <w:szCs w:val="18"/>
          <w:color w:val="F37F00"/>
        </w:rPr>
      </w:pPr>
      <w:r>
        <w:rPr>
          <w:rFonts w:ascii="Arial" w:cs="Arial" w:eastAsia="Arial" w:hAnsi="Arial"/>
          <w:sz w:val="18"/>
          <w:szCs w:val="18"/>
          <w:color w:val="202124"/>
        </w:rPr>
        <w:t>The average number of years stock options have been held before exercise is six years from the date of grant, for current executive officers as a group (based upon the last ten years of activity). In many instances, our most senior executive officers hold closer to six to eight years which is significantly longer than the vesting period.</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Stock Options</w:t>
      </w:r>
    </w:p>
    <w:p>
      <w:pPr>
        <w:spacing w:after="0" w:line="104" w:lineRule="exact"/>
        <w:rPr>
          <w:sz w:val="20"/>
          <w:szCs w:val="20"/>
          <w:color w:val="auto"/>
        </w:rPr>
      </w:pPr>
    </w:p>
    <w:p>
      <w:pPr>
        <w:ind w:left="640" w:right="260"/>
        <w:spacing w:after="0" w:line="251" w:lineRule="auto"/>
        <w:rPr>
          <w:sz w:val="20"/>
          <w:szCs w:val="20"/>
          <w:color w:val="auto"/>
        </w:rPr>
      </w:pPr>
      <w:r>
        <w:rPr>
          <w:rFonts w:ascii="Arial" w:cs="Arial" w:eastAsia="Arial" w:hAnsi="Arial"/>
          <w:sz w:val="17"/>
          <w:szCs w:val="17"/>
          <w:color w:val="202124"/>
        </w:rPr>
        <w:t>The non-qualified stock options are typically granted in early October at the first regularly scheduled Compensation Committee meeting of the fiscal year. Awards of stock options may be granted outside of this time frame in the event of</w:t>
      </w:r>
    </w:p>
    <w:p>
      <w:pPr>
        <w:spacing w:after="0" w:line="1" w:lineRule="exact"/>
        <w:rPr>
          <w:sz w:val="20"/>
          <w:szCs w:val="20"/>
          <w:color w:val="auto"/>
        </w:rPr>
      </w:pPr>
    </w:p>
    <w:p>
      <w:pPr>
        <w:ind w:left="640" w:right="80"/>
        <w:spacing w:after="0" w:line="250" w:lineRule="auto"/>
        <w:rPr>
          <w:sz w:val="20"/>
          <w:szCs w:val="20"/>
          <w:color w:val="auto"/>
        </w:rPr>
      </w:pPr>
      <w:r>
        <w:rPr>
          <w:rFonts w:ascii="Arial" w:cs="Arial" w:eastAsia="Arial" w:hAnsi="Arial"/>
          <w:sz w:val="18"/>
          <w:szCs w:val="18"/>
          <w:color w:val="202124"/>
        </w:rPr>
        <w:t>promotions, external hires or other unique circumstances. Options have a term of ten years and generally become vested and exercisable over a four-year period at the rate of one-fourth per year.</w:t>
      </w:r>
    </w:p>
    <w:p>
      <w:pPr>
        <w:spacing w:after="0" w:line="131" w:lineRule="exact"/>
        <w:rPr>
          <w:sz w:val="20"/>
          <w:szCs w:val="20"/>
          <w:color w:val="auto"/>
        </w:rPr>
      </w:pPr>
    </w:p>
    <w:p>
      <w:pPr>
        <w:ind w:left="640"/>
        <w:spacing w:after="0" w:line="237" w:lineRule="auto"/>
        <w:rPr>
          <w:sz w:val="20"/>
          <w:szCs w:val="20"/>
          <w:color w:val="auto"/>
        </w:rPr>
      </w:pPr>
      <w:r>
        <w:rPr>
          <w:rFonts w:ascii="Arial" w:cs="Arial" w:eastAsia="Arial" w:hAnsi="Arial"/>
          <w:sz w:val="18"/>
          <w:szCs w:val="18"/>
          <w:color w:val="202124"/>
        </w:rPr>
        <w:t>Beginning with FY25, the majority of our executive committee will vest over a four-year period with no options vesting after year 1, 50% exercisable after two years and 25% vest in years three and four. Beginning with the FY21 grant, options vest</w:t>
      </w:r>
    </w:p>
    <w:p>
      <w:pPr>
        <w:spacing w:after="0" w:line="1"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202124"/>
        </w:rPr>
        <w:t xml:space="preserve">on October 15 of each year following the grant date, to ensure the </w:t>
      </w:r>
      <w:r>
        <w:rPr>
          <w:rFonts w:ascii="Arial" w:cs="Arial" w:eastAsia="Arial" w:hAnsi="Arial"/>
          <w:sz w:val="18"/>
          <w:szCs w:val="18"/>
          <w:b w:val="1"/>
          <w:bCs w:val="1"/>
          <w:color w:val="202124"/>
        </w:rPr>
        <w:t>first vesting date occurs more than one full year</w:t>
      </w:r>
      <w:r>
        <w:rPr>
          <w:rFonts w:ascii="Arial" w:cs="Arial" w:eastAsia="Arial" w:hAnsi="Arial"/>
          <w:sz w:val="18"/>
          <w:szCs w:val="18"/>
          <w:color w:val="202124"/>
        </w:rPr>
        <w:t xml:space="preserve"> </w:t>
      </w:r>
      <w:r>
        <w:rPr>
          <w:rFonts w:ascii="Arial" w:cs="Arial" w:eastAsia="Arial" w:hAnsi="Arial"/>
          <w:sz w:val="18"/>
          <w:szCs w:val="18"/>
          <w:b w:val="1"/>
          <w:bCs w:val="1"/>
          <w:color w:val="202124"/>
        </w:rPr>
        <w:t>after the date of grant</w:t>
      </w:r>
      <w:r>
        <w:rPr>
          <w:rFonts w:ascii="Arial" w:cs="Arial" w:eastAsia="Arial" w:hAnsi="Arial"/>
          <w:sz w:val="18"/>
          <w:szCs w:val="18"/>
          <w:color w:val="202124"/>
        </w:rPr>
        <w:t>. The exercise price for such options is equal to the closing price of our common stock on the grant</w:t>
      </w:r>
    </w:p>
    <w:p>
      <w:pPr>
        <w:ind w:left="640"/>
        <w:spacing w:after="0" w:line="236" w:lineRule="auto"/>
        <w:rPr>
          <w:sz w:val="20"/>
          <w:szCs w:val="20"/>
          <w:color w:val="auto"/>
        </w:rPr>
      </w:pPr>
      <w:r>
        <w:rPr>
          <w:rFonts w:ascii="Arial" w:cs="Arial" w:eastAsia="Arial" w:hAnsi="Arial"/>
          <w:sz w:val="18"/>
          <w:szCs w:val="18"/>
          <w:color w:val="202124"/>
        </w:rPr>
        <w:t>date, as quoted on the NYSE. Under the terms of the AutoZone, Inc. 2020 Omnibus Incentive Award Plan, we may not</w:t>
      </w:r>
    </w:p>
    <w:p>
      <w:pPr>
        <w:spacing w:after="0" w:line="1" w:lineRule="exact"/>
        <w:rPr>
          <w:sz w:val="20"/>
          <w:szCs w:val="20"/>
          <w:color w:val="auto"/>
        </w:rPr>
      </w:pPr>
    </w:p>
    <w:p>
      <w:pPr>
        <w:ind w:left="640" w:right="280"/>
        <w:spacing w:after="0"/>
        <w:rPr>
          <w:sz w:val="20"/>
          <w:szCs w:val="20"/>
          <w:color w:val="auto"/>
        </w:rPr>
      </w:pPr>
      <w:r>
        <w:rPr>
          <w:rFonts w:ascii="Arial" w:cs="Arial" w:eastAsia="Arial" w:hAnsi="Arial"/>
          <w:sz w:val="17"/>
          <w:szCs w:val="17"/>
          <w:color w:val="202124"/>
        </w:rPr>
        <w:t>grant stock options with a strike price at a discount to fair market value. Unless otherwise determined by the Compensation Committee, “fair market value” as of a given date is the closing price of our common stock as quoted on</w:t>
      </w:r>
    </w:p>
    <w:p>
      <w:pPr>
        <w:spacing w:after="0" w:line="1" w:lineRule="exact"/>
        <w:rPr>
          <w:sz w:val="20"/>
          <w:szCs w:val="20"/>
          <w:color w:val="auto"/>
        </w:rPr>
      </w:pPr>
    </w:p>
    <w:p>
      <w:pPr>
        <w:ind w:left="640" w:right="180"/>
        <w:spacing w:after="0" w:line="250" w:lineRule="auto"/>
        <w:rPr>
          <w:sz w:val="20"/>
          <w:szCs w:val="20"/>
          <w:color w:val="auto"/>
        </w:rPr>
      </w:pPr>
      <w:r>
        <w:rPr>
          <w:rFonts w:ascii="Arial" w:cs="Arial" w:eastAsia="Arial" w:hAnsi="Arial"/>
          <w:sz w:val="18"/>
          <w:szCs w:val="18"/>
          <w:color w:val="202124"/>
        </w:rPr>
        <w:t>the NYSE on such date or, if the shares were not traded on that date, the most recent preceding date when such shares were traded.</w:t>
      </w:r>
    </w:p>
    <w:p>
      <w:pPr>
        <w:spacing w:after="0" w:line="131" w:lineRule="exact"/>
        <w:rPr>
          <w:sz w:val="20"/>
          <w:szCs w:val="20"/>
          <w:color w:val="auto"/>
        </w:rPr>
      </w:pPr>
    </w:p>
    <w:p>
      <w:pPr>
        <w:ind w:left="640" w:right="60"/>
        <w:spacing w:after="0" w:line="237" w:lineRule="auto"/>
        <w:rPr>
          <w:sz w:val="20"/>
          <w:szCs w:val="20"/>
          <w:color w:val="auto"/>
        </w:rPr>
      </w:pPr>
      <w:r>
        <w:rPr>
          <w:rFonts w:ascii="Arial" w:cs="Arial" w:eastAsia="Arial" w:hAnsi="Arial"/>
          <w:sz w:val="18"/>
          <w:szCs w:val="18"/>
          <w:color w:val="202124"/>
        </w:rPr>
        <w:t>In FY26, the CEO was granted 25% of LTIP awards in the form of premium-priced stock options (10% above the stock price on the date of grant), with a 100% cliff vest after five years and 75% as non-qualified stock options with 50% vesting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in year two and 25% vesting in each years three and 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56   </w:t>
      </w:r>
      <w:r>
        <w:rPr>
          <w:sz w:val="1"/>
          <w:szCs w:val="1"/>
          <w:color w:val="auto"/>
        </w:rPr>
        <w:drawing>
          <wp:inline distT="0" distB="0" distL="0" distR="0">
            <wp:extent cx="1165860" cy="1371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59" w:name="page60"/>
    <w:bookmarkEnd w:id="5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FY26 Long-Term Incentive Plan Awards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1280" w:type="dxa"/>
            <w:vAlign w:val="bottom"/>
            <w:shd w:val="clear" w:color="auto" w:fill="202224"/>
          </w:tcPr>
          <w:p>
            <w:pPr>
              <w:ind w:left="40"/>
              <w:spacing w:after="0"/>
              <w:rPr>
                <w:sz w:val="20"/>
                <w:szCs w:val="20"/>
                <w:color w:val="auto"/>
              </w:rPr>
            </w:pPr>
            <w:r>
              <w:rPr>
                <w:rFonts w:ascii="Arial" w:cs="Arial" w:eastAsia="Arial" w:hAnsi="Arial"/>
                <w:sz w:val="14"/>
                <w:szCs w:val="14"/>
                <w:b w:val="1"/>
                <w:bCs w:val="1"/>
                <w:color w:val="FFFFFF"/>
              </w:rPr>
              <w:t>Name</w:t>
            </w:r>
          </w:p>
        </w:tc>
        <w:tc>
          <w:tcPr>
            <w:tcW w:w="1740" w:type="dxa"/>
            <w:vAlign w:val="bottom"/>
            <w:gridSpan w:val="2"/>
            <w:shd w:val="clear" w:color="auto" w:fill="202224"/>
          </w:tcPr>
          <w:p>
            <w:pPr>
              <w:ind w:left="80"/>
              <w:spacing w:after="0"/>
              <w:rPr>
                <w:sz w:val="20"/>
                <w:szCs w:val="20"/>
                <w:color w:val="auto"/>
              </w:rPr>
            </w:pPr>
            <w:r>
              <w:rPr>
                <w:rFonts w:ascii="Arial" w:cs="Arial" w:eastAsia="Arial" w:hAnsi="Arial"/>
                <w:sz w:val="14"/>
                <w:szCs w:val="14"/>
                <w:b w:val="1"/>
                <w:bCs w:val="1"/>
                <w:color w:val="FFFFFF"/>
              </w:rPr>
              <w:t>​​​FY25 Options Granted</w:t>
            </w:r>
          </w:p>
        </w:tc>
        <w:tc>
          <w:tcPr>
            <w:tcW w:w="460" w:type="dxa"/>
            <w:vAlign w:val="bottom"/>
            <w:shd w:val="clear" w:color="auto" w:fill="202224"/>
          </w:tcPr>
          <w:p>
            <w:pPr>
              <w:ind w:left="80"/>
              <w:spacing w:after="0"/>
              <w:rPr>
                <w:sz w:val="20"/>
                <w:szCs w:val="20"/>
                <w:color w:val="auto"/>
              </w:rPr>
            </w:pPr>
            <w:r>
              <w:rPr>
                <w:rFonts w:ascii="Times New Roman" w:cs="Times New Roman" w:eastAsia="Times New Roman" w:hAnsi="Times New Roman"/>
                <w:sz w:val="14"/>
                <w:szCs w:val="14"/>
                <w:b w:val="1"/>
                <w:bCs w:val="1"/>
                <w:color w:val="FFFFFF"/>
              </w:rPr>
              <w:t>​</w:t>
            </w:r>
            <w:r>
              <w:rPr>
                <w:rFonts w:ascii="Arial" w:cs="Arial" w:eastAsia="Arial" w:hAnsi="Arial"/>
                <w:sz w:val="14"/>
                <w:szCs w:val="14"/>
                <w:b w:val="1"/>
                <w:bCs w:val="1"/>
                <w:color w:val="FFFFFF"/>
              </w:rPr>
              <w:t>FY26</w:t>
            </w:r>
            <w:r>
              <w:rPr>
                <w:rFonts w:ascii="Times New Roman" w:cs="Times New Roman" w:eastAsia="Times New Roman" w:hAnsi="Times New Roman"/>
                <w:sz w:val="14"/>
                <w:szCs w:val="14"/>
                <w:b w:val="1"/>
                <w:bCs w:val="1"/>
                <w:color w:val="FFFFFF"/>
              </w:rPr>
              <w:t>​</w:t>
            </w:r>
          </w:p>
        </w:tc>
        <w:tc>
          <w:tcPr>
            <w:tcW w:w="2900" w:type="dxa"/>
            <w:vAlign w:val="bottom"/>
            <w:gridSpan w:val="3"/>
            <w:shd w:val="clear" w:color="auto" w:fill="202224"/>
          </w:tcPr>
          <w:p>
            <w:pPr>
              <w:ind w:left="20"/>
              <w:spacing w:after="0"/>
              <w:rPr>
                <w:sz w:val="20"/>
                <w:szCs w:val="20"/>
                <w:color w:val="auto"/>
              </w:rPr>
            </w:pPr>
            <w:r>
              <w:rPr>
                <w:rFonts w:ascii="Arial" w:cs="Arial" w:eastAsia="Arial" w:hAnsi="Arial"/>
                <w:sz w:val="14"/>
                <w:szCs w:val="14"/>
                <w:b w:val="1"/>
                <w:bCs w:val="1"/>
                <w:color w:val="FFFFFF"/>
              </w:rPr>
              <w:t xml:space="preserve">Options/RSUs Granted </w:t>
            </w:r>
            <w:r>
              <w:rPr>
                <w:rFonts w:ascii="Times New Roman" w:cs="Times New Roman" w:eastAsia="Times New Roman" w:hAnsi="Times New Roman"/>
                <w:sz w:val="14"/>
                <w:szCs w:val="14"/>
                <w:b w:val="1"/>
                <w:bCs w:val="1"/>
                <w:color w:val="FFFFFF"/>
              </w:rPr>
              <w:t>​​</w:t>
            </w:r>
            <w:r>
              <w:rPr>
                <w:rFonts w:ascii="Arial" w:cs="Arial" w:eastAsia="Arial" w:hAnsi="Arial"/>
                <w:sz w:val="14"/>
                <w:szCs w:val="14"/>
                <w:b w:val="1"/>
                <w:bCs w:val="1"/>
                <w:color w:val="FFFFFF"/>
              </w:rPr>
              <w:t>Share (+/-) from</w:t>
            </w:r>
          </w:p>
        </w:tc>
        <w:tc>
          <w:tcPr>
            <w:tcW w:w="1080" w:type="dxa"/>
            <w:vAlign w:val="bottom"/>
            <w:shd w:val="clear" w:color="auto" w:fill="202224"/>
          </w:tcPr>
          <w:p>
            <w:pPr>
              <w:jc w:val="right"/>
              <w:spacing w:after="0"/>
              <w:rPr>
                <w:sz w:val="20"/>
                <w:szCs w:val="20"/>
                <w:color w:val="auto"/>
              </w:rPr>
            </w:pPr>
            <w:r>
              <w:rPr>
                <w:rFonts w:ascii="Arial" w:cs="Arial" w:eastAsia="Arial" w:hAnsi="Arial"/>
                <w:sz w:val="14"/>
                <w:szCs w:val="14"/>
                <w:b w:val="1"/>
                <w:bCs w:val="1"/>
                <w:color w:val="FFFFFF"/>
              </w:rPr>
              <w:t>Value (+/-) from</w:t>
            </w:r>
          </w:p>
        </w:tc>
        <w:tc>
          <w:tcPr>
            <w:tcW w:w="180" w:type="dxa"/>
            <w:vAlign w:val="bottom"/>
            <w:shd w:val="clear" w:color="auto" w:fill="202224"/>
          </w:tcPr>
          <w:p>
            <w:pPr>
              <w:spacing w:after="0"/>
              <w:rPr>
                <w:sz w:val="15"/>
                <w:szCs w:val="15"/>
                <w:color w:val="auto"/>
              </w:rPr>
            </w:pPr>
          </w:p>
        </w:tc>
        <w:tc>
          <w:tcPr>
            <w:tcW w:w="2080" w:type="dxa"/>
            <w:vAlign w:val="bottom"/>
            <w:shd w:val="clear" w:color="auto" w:fill="20222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202224"/>
          </w:tcPr>
          <w:p>
            <w:pPr>
              <w:spacing w:after="0"/>
              <w:rPr>
                <w:sz w:val="16"/>
                <w:szCs w:val="16"/>
                <w:color w:val="auto"/>
              </w:rPr>
            </w:pPr>
          </w:p>
        </w:tc>
        <w:tc>
          <w:tcPr>
            <w:tcW w:w="1000" w:type="dxa"/>
            <w:vAlign w:val="bottom"/>
            <w:shd w:val="clear" w:color="auto" w:fill="202224"/>
          </w:tcPr>
          <w:p>
            <w:pPr>
              <w:jc w:val="right"/>
              <w:ind w:right="308"/>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202224"/>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gridSpan w:val="2"/>
            <w:shd w:val="clear" w:color="auto" w:fill="202224"/>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202224"/>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202224"/>
          </w:tcPr>
          <w:p>
            <w:pPr>
              <w:jc w:val="right"/>
              <w:ind w:right="268"/>
              <w:spacing w:after="0"/>
              <w:rPr>
                <w:sz w:val="20"/>
                <w:szCs w:val="20"/>
                <w:color w:val="auto"/>
              </w:rPr>
            </w:pPr>
            <w:r>
              <w:rPr>
                <w:rFonts w:ascii="Arial" w:cs="Arial" w:eastAsia="Arial" w:hAnsi="Arial"/>
                <w:sz w:val="14"/>
                <w:szCs w:val="14"/>
                <w:b w:val="1"/>
                <w:bCs w:val="1"/>
                <w:color w:val="FFFFFF"/>
              </w:rPr>
              <w:t>Prior Year</w:t>
            </w:r>
          </w:p>
        </w:tc>
        <w:tc>
          <w:tcPr>
            <w:tcW w:w="1080" w:type="dxa"/>
            <w:vAlign w:val="bottom"/>
            <w:shd w:val="clear" w:color="auto" w:fill="202224"/>
          </w:tcPr>
          <w:p>
            <w:pPr>
              <w:jc w:val="right"/>
              <w:ind w:right="128"/>
              <w:spacing w:after="0"/>
              <w:rPr>
                <w:sz w:val="20"/>
                <w:szCs w:val="20"/>
                <w:color w:val="auto"/>
              </w:rPr>
            </w:pPr>
            <w:r>
              <w:rPr>
                <w:rFonts w:ascii="Arial" w:cs="Arial" w:eastAsia="Arial" w:hAnsi="Arial"/>
                <w:sz w:val="14"/>
                <w:szCs w:val="14"/>
                <w:b w:val="1"/>
                <w:bCs w:val="1"/>
                <w:color w:val="FFFFFF"/>
              </w:rPr>
              <w:t>Prior Year</w:t>
            </w:r>
          </w:p>
        </w:tc>
        <w:tc>
          <w:tcPr>
            <w:tcW w:w="180" w:type="dxa"/>
            <w:vAlign w:val="bottom"/>
            <w:shd w:val="clear" w:color="auto" w:fill="202224"/>
          </w:tcPr>
          <w:p>
            <w:pPr>
              <w:spacing w:after="0"/>
              <w:rPr>
                <w:sz w:val="16"/>
                <w:szCs w:val="16"/>
                <w:color w:val="auto"/>
              </w:rPr>
            </w:pPr>
          </w:p>
        </w:tc>
        <w:tc>
          <w:tcPr>
            <w:tcW w:w="2080" w:type="dxa"/>
            <w:vAlign w:val="bottom"/>
            <w:shd w:val="clear" w:color="auto" w:fill="202224"/>
          </w:tcPr>
          <w:p>
            <w:pPr>
              <w:ind w:left="76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Increase related to Black-</w:t>
            </w: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F37F00"/>
              </w:rPr>
              <w:t>Philip B. Daniele,</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Scholes Merton value of stock</w:t>
            </w: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80" w:type="dxa"/>
            <w:vAlign w:val="bottom"/>
            <w:vMerge w:val="restart"/>
          </w:tcPr>
          <w:p>
            <w:pPr>
              <w:ind w:left="80"/>
              <w:spacing w:after="0"/>
              <w:rPr>
                <w:sz w:val="20"/>
                <w:szCs w:val="20"/>
                <w:color w:val="auto"/>
              </w:rPr>
            </w:pPr>
            <w:r>
              <w:rPr>
                <w:rFonts w:ascii="Arial" w:cs="Arial" w:eastAsia="Arial" w:hAnsi="Arial"/>
                <w:sz w:val="14"/>
                <w:szCs w:val="14"/>
                <w:color w:val="202124"/>
              </w:rPr>
              <w:t>options</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F37F00"/>
              </w:rPr>
              <w:t>III</w:t>
            </w:r>
          </w:p>
        </w:tc>
        <w:tc>
          <w:tcPr>
            <w:tcW w:w="1000" w:type="dxa"/>
            <w:vAlign w:val="bottom"/>
            <w:tcBorders>
              <w:bottom w:val="single" w:sz="8" w:color="808080"/>
            </w:tcBorders>
          </w:tcPr>
          <w:p>
            <w:pPr>
              <w:jc w:val="right"/>
              <w:ind w:right="68"/>
              <w:spacing w:after="0"/>
              <w:rPr>
                <w:sz w:val="20"/>
                <w:szCs w:val="20"/>
                <w:color w:val="auto"/>
              </w:rPr>
            </w:pPr>
            <w:r>
              <w:rPr>
                <w:rFonts w:ascii="Arial" w:cs="Arial" w:eastAsia="Arial" w:hAnsi="Arial"/>
                <w:sz w:val="14"/>
                <w:szCs w:val="14"/>
                <w:color w:val="202124"/>
              </w:rPr>
              <w:t>6,328</w:t>
            </w:r>
          </w:p>
        </w:tc>
        <w:tc>
          <w:tcPr>
            <w:tcW w:w="7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202124"/>
              </w:rPr>
              <w:t>7,198,789</w:t>
            </w:r>
          </w:p>
        </w:tc>
        <w:tc>
          <w:tcPr>
            <w:tcW w:w="4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202124"/>
              </w:rPr>
              <w:t>5,670</w:t>
            </w:r>
          </w:p>
        </w:tc>
        <w:tc>
          <w:tcPr>
            <w:tcW w:w="1040" w:type="dxa"/>
            <w:vAlign w:val="bottom"/>
            <w:tcBorders>
              <w:bottom w:val="single" w:sz="8" w:color="808080"/>
            </w:tcBorders>
          </w:tcPr>
          <w:p>
            <w:pPr>
              <w:jc w:val="right"/>
              <w:ind w:right="48"/>
              <w:spacing w:after="0"/>
              <w:rPr>
                <w:sz w:val="20"/>
                <w:szCs w:val="20"/>
                <w:color w:val="auto"/>
              </w:rPr>
            </w:pPr>
            <w:r>
              <w:rPr>
                <w:rFonts w:ascii="Arial" w:cs="Arial" w:eastAsia="Arial" w:hAnsi="Arial"/>
                <w:sz w:val="14"/>
                <w:szCs w:val="14"/>
                <w:color w:val="202124"/>
              </w:rPr>
              <w:t>8,276,763</w:t>
            </w: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(10.4)%</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15.0</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w w:val="79"/>
              </w:rPr>
              <w:t>%</w:t>
            </w:r>
          </w:p>
        </w:tc>
        <w:tc>
          <w:tcPr>
            <w:tcW w:w="208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Increase related to Black-</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Scholes Merton value of stock</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F37F00"/>
              </w:rPr>
              <w:t>Jamere Jackson</w:t>
            </w:r>
          </w:p>
        </w:tc>
        <w:tc>
          <w:tcPr>
            <w:tcW w:w="1000" w:type="dxa"/>
            <w:vAlign w:val="bottom"/>
            <w:tcBorders>
              <w:bottom w:val="single" w:sz="8" w:color="808080"/>
            </w:tcBorders>
          </w:tcPr>
          <w:p>
            <w:pPr>
              <w:jc w:val="right"/>
              <w:ind w:right="68"/>
              <w:spacing w:after="0"/>
              <w:rPr>
                <w:sz w:val="20"/>
                <w:szCs w:val="20"/>
                <w:color w:val="auto"/>
              </w:rPr>
            </w:pPr>
            <w:r>
              <w:rPr>
                <w:rFonts w:ascii="Arial" w:cs="Arial" w:eastAsia="Arial" w:hAnsi="Arial"/>
                <w:sz w:val="14"/>
                <w:szCs w:val="14"/>
                <w:color w:val="202124"/>
              </w:rPr>
              <w:t>4,597</w:t>
            </w:r>
          </w:p>
        </w:tc>
        <w:tc>
          <w:tcPr>
            <w:tcW w:w="7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202124"/>
              </w:rPr>
              <w:t>5,200,014</w:t>
            </w: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202124"/>
              </w:rPr>
              <w:t>4,049</w:t>
            </w:r>
          </w:p>
        </w:tc>
        <w:tc>
          <w:tcPr>
            <w:tcW w:w="1040" w:type="dxa"/>
            <w:vAlign w:val="bottom"/>
            <w:tcBorders>
              <w:bottom w:val="single" w:sz="8" w:color="808080"/>
            </w:tcBorders>
          </w:tcPr>
          <w:p>
            <w:pPr>
              <w:jc w:val="right"/>
              <w:ind w:right="48"/>
              <w:spacing w:after="0"/>
              <w:rPr>
                <w:sz w:val="20"/>
                <w:szCs w:val="20"/>
                <w:color w:val="auto"/>
              </w:rPr>
            </w:pPr>
            <w:r>
              <w:rPr>
                <w:rFonts w:ascii="Arial" w:cs="Arial" w:eastAsia="Arial" w:hAnsi="Arial"/>
                <w:sz w:val="14"/>
                <w:szCs w:val="14"/>
                <w:color w:val="202124"/>
              </w:rPr>
              <w:t>5,909,820</w:t>
            </w: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(11.9)%</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13.7</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w w:val="79"/>
              </w:rPr>
              <w:t>%</w:t>
            </w:r>
          </w:p>
        </w:tc>
        <w:tc>
          <w:tcPr>
            <w:tcW w:w="2080" w:type="dxa"/>
            <w:vAlign w:val="bottom"/>
            <w:tcBorders>
              <w:bottom w:val="single" w:sz="8" w:color="808080"/>
            </w:tcBorders>
          </w:tcPr>
          <w:p>
            <w:pPr>
              <w:ind w:left="80"/>
              <w:spacing w:after="0"/>
              <w:rPr>
                <w:sz w:val="20"/>
                <w:szCs w:val="20"/>
                <w:color w:val="auto"/>
              </w:rPr>
            </w:pPr>
            <w:r>
              <w:rPr>
                <w:rFonts w:ascii="Arial" w:cs="Arial" w:eastAsia="Arial" w:hAnsi="Arial"/>
                <w:sz w:val="14"/>
                <w:szCs w:val="14"/>
                <w:color w:val="202124"/>
              </w:rPr>
              <w:t>options</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Increase related to Black-</w:t>
            </w: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F37F00"/>
              </w:rPr>
              <w:t>Thomas B.</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Scholes Merton value of stock</w:t>
            </w: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80" w:type="dxa"/>
            <w:vAlign w:val="bottom"/>
            <w:vMerge w:val="restart"/>
          </w:tcPr>
          <w:p>
            <w:pPr>
              <w:ind w:left="80"/>
              <w:spacing w:after="0"/>
              <w:rPr>
                <w:sz w:val="20"/>
                <w:szCs w:val="20"/>
                <w:color w:val="auto"/>
              </w:rPr>
            </w:pPr>
            <w:r>
              <w:rPr>
                <w:rFonts w:ascii="Arial" w:cs="Arial" w:eastAsia="Arial" w:hAnsi="Arial"/>
                <w:sz w:val="14"/>
                <w:szCs w:val="14"/>
                <w:color w:val="202124"/>
              </w:rPr>
              <w:t>options</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F37F00"/>
              </w:rPr>
              <w:t>Newbern</w:t>
            </w:r>
          </w:p>
        </w:tc>
        <w:tc>
          <w:tcPr>
            <w:tcW w:w="1000" w:type="dxa"/>
            <w:vAlign w:val="bottom"/>
            <w:tcBorders>
              <w:bottom w:val="single" w:sz="8" w:color="808080"/>
            </w:tcBorders>
          </w:tcPr>
          <w:p>
            <w:pPr>
              <w:jc w:val="right"/>
              <w:ind w:right="68"/>
              <w:spacing w:after="0"/>
              <w:rPr>
                <w:sz w:val="20"/>
                <w:szCs w:val="20"/>
                <w:color w:val="auto"/>
              </w:rPr>
            </w:pPr>
            <w:r>
              <w:rPr>
                <w:rFonts w:ascii="Arial" w:cs="Arial" w:eastAsia="Arial" w:hAnsi="Arial"/>
                <w:sz w:val="14"/>
                <w:szCs w:val="14"/>
                <w:color w:val="202124"/>
              </w:rPr>
              <w:t>4,597</w:t>
            </w:r>
          </w:p>
        </w:tc>
        <w:tc>
          <w:tcPr>
            <w:tcW w:w="7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202124"/>
              </w:rPr>
              <w:t>5,200,014</w:t>
            </w:r>
          </w:p>
        </w:tc>
        <w:tc>
          <w:tcPr>
            <w:tcW w:w="4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202124"/>
              </w:rPr>
              <w:t>4,049</w:t>
            </w:r>
          </w:p>
        </w:tc>
        <w:tc>
          <w:tcPr>
            <w:tcW w:w="1040" w:type="dxa"/>
            <w:vAlign w:val="bottom"/>
            <w:tcBorders>
              <w:bottom w:val="single" w:sz="8" w:color="808080"/>
            </w:tcBorders>
          </w:tcPr>
          <w:p>
            <w:pPr>
              <w:jc w:val="right"/>
              <w:ind w:right="48"/>
              <w:spacing w:after="0"/>
              <w:rPr>
                <w:sz w:val="20"/>
                <w:szCs w:val="20"/>
                <w:color w:val="auto"/>
              </w:rPr>
            </w:pPr>
            <w:r>
              <w:rPr>
                <w:rFonts w:ascii="Arial" w:cs="Arial" w:eastAsia="Arial" w:hAnsi="Arial"/>
                <w:sz w:val="14"/>
                <w:szCs w:val="14"/>
                <w:color w:val="202124"/>
              </w:rPr>
              <w:t>5,909,820</w:t>
            </w: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(11.9)%</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13.7</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w w:val="79"/>
              </w:rPr>
              <w:t>%</w:t>
            </w:r>
          </w:p>
        </w:tc>
        <w:tc>
          <w:tcPr>
            <w:tcW w:w="208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Increase in value related to</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promotion for the prior year</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and increased Black-Scholes</w:t>
            </w:r>
          </w:p>
        </w:tc>
        <w:tc>
          <w:tcPr>
            <w:tcW w:w="0" w:type="dxa"/>
            <w:vAlign w:val="bottom"/>
          </w:tcPr>
          <w:p>
            <w:pPr>
              <w:spacing w:after="0"/>
              <w:rPr>
                <w:sz w:val="1"/>
                <w:szCs w:val="1"/>
                <w:color w:val="auto"/>
              </w:rPr>
            </w:pPr>
          </w:p>
        </w:tc>
      </w:tr>
      <w:tr>
        <w:trPr>
          <w:trHeight w:val="239"/>
        </w:trPr>
        <w:tc>
          <w:tcPr>
            <w:tcW w:w="12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F37F00"/>
              </w:rPr>
              <w:t>Eric S. Gould</w:t>
            </w:r>
          </w:p>
        </w:tc>
        <w:tc>
          <w:tcPr>
            <w:tcW w:w="1000" w:type="dxa"/>
            <w:vAlign w:val="bottom"/>
            <w:tcBorders>
              <w:bottom w:val="single" w:sz="8" w:color="808080"/>
            </w:tcBorders>
          </w:tcPr>
          <w:p>
            <w:pPr>
              <w:jc w:val="right"/>
              <w:ind w:right="68"/>
              <w:spacing w:after="0"/>
              <w:rPr>
                <w:sz w:val="20"/>
                <w:szCs w:val="20"/>
                <w:color w:val="auto"/>
              </w:rPr>
            </w:pPr>
            <w:r>
              <w:rPr>
                <w:rFonts w:ascii="Arial" w:cs="Arial" w:eastAsia="Arial" w:hAnsi="Arial"/>
                <w:sz w:val="14"/>
                <w:szCs w:val="14"/>
                <w:color w:val="202124"/>
              </w:rPr>
              <w:t>2,917</w:t>
            </w:r>
          </w:p>
        </w:tc>
        <w:tc>
          <w:tcPr>
            <w:tcW w:w="7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202124"/>
              </w:rPr>
              <w:t>3,299,639</w:t>
            </w:r>
          </w:p>
        </w:tc>
        <w:tc>
          <w:tcPr>
            <w:tcW w:w="46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202124"/>
              </w:rPr>
              <w:t>3,380</w:t>
            </w:r>
          </w:p>
        </w:tc>
        <w:tc>
          <w:tcPr>
            <w:tcW w:w="1040" w:type="dxa"/>
            <w:vAlign w:val="bottom"/>
            <w:tcBorders>
              <w:bottom w:val="single" w:sz="8" w:color="808080"/>
            </w:tcBorders>
          </w:tcPr>
          <w:p>
            <w:pPr>
              <w:jc w:val="right"/>
              <w:ind w:right="48"/>
              <w:spacing w:after="0"/>
              <w:rPr>
                <w:sz w:val="20"/>
                <w:szCs w:val="20"/>
                <w:color w:val="auto"/>
              </w:rPr>
            </w:pPr>
            <w:r>
              <w:rPr>
                <w:rFonts w:ascii="Arial" w:cs="Arial" w:eastAsia="Arial" w:hAnsi="Arial"/>
                <w:sz w:val="14"/>
                <w:szCs w:val="14"/>
                <w:color w:val="202124"/>
              </w:rPr>
              <w:t>4,933,364</w:t>
            </w: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15.9 %</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49.5</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w w:val="79"/>
              </w:rPr>
              <w:t>%</w:t>
            </w:r>
          </w:p>
        </w:tc>
        <w:tc>
          <w:tcPr>
            <w:tcW w:w="2080" w:type="dxa"/>
            <w:vAlign w:val="bottom"/>
            <w:tcBorders>
              <w:bottom w:val="single" w:sz="8" w:color="808080"/>
            </w:tcBorders>
          </w:tcPr>
          <w:p>
            <w:pPr>
              <w:ind w:left="80"/>
              <w:spacing w:after="0"/>
              <w:rPr>
                <w:sz w:val="20"/>
                <w:szCs w:val="20"/>
                <w:color w:val="auto"/>
              </w:rPr>
            </w:pPr>
            <w:r>
              <w:rPr>
                <w:rFonts w:ascii="Arial" w:cs="Arial" w:eastAsia="Arial" w:hAnsi="Arial"/>
                <w:sz w:val="14"/>
                <w:szCs w:val="14"/>
                <w:color w:val="202124"/>
              </w:rPr>
              <w:t>Merton value of stock options</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Increase in value related to</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performance for the prior year</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and increased Black-Scholes</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Merton value of stock options</w:t>
            </w: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F37F00"/>
              </w:rPr>
              <w:t>Kenneth E.</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202124"/>
              </w:rPr>
              <w:t>along with one-time RSU</w:t>
            </w: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80" w:type="dxa"/>
            <w:vAlign w:val="bottom"/>
            <w:vMerge w:val="restart"/>
          </w:tcPr>
          <w:p>
            <w:pPr>
              <w:ind w:left="80"/>
              <w:spacing w:after="0"/>
              <w:rPr>
                <w:sz w:val="20"/>
                <w:szCs w:val="20"/>
                <w:color w:val="auto"/>
              </w:rPr>
            </w:pPr>
            <w:r>
              <w:rPr>
                <w:rFonts w:ascii="Arial" w:cs="Arial" w:eastAsia="Arial" w:hAnsi="Arial"/>
                <w:sz w:val="14"/>
                <w:szCs w:val="14"/>
                <w:color w:val="202124"/>
              </w:rPr>
              <w:t>retention grant</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202124"/>
            </w:tcBorders>
          </w:tcPr>
          <w:p>
            <w:pPr>
              <w:spacing w:after="0"/>
              <w:rPr>
                <w:sz w:val="20"/>
                <w:szCs w:val="20"/>
                <w:color w:val="auto"/>
              </w:rPr>
            </w:pPr>
            <w:r>
              <w:rPr>
                <w:rFonts w:ascii="Arial" w:cs="Arial" w:eastAsia="Arial" w:hAnsi="Arial"/>
                <w:sz w:val="14"/>
                <w:szCs w:val="14"/>
                <w:b w:val="1"/>
                <w:bCs w:val="1"/>
                <w:color w:val="F37F00"/>
              </w:rPr>
              <w:t>Jaycox, Jr.</w:t>
            </w:r>
          </w:p>
        </w:tc>
        <w:tc>
          <w:tcPr>
            <w:tcW w:w="1000" w:type="dxa"/>
            <w:vAlign w:val="bottom"/>
            <w:tcBorders>
              <w:bottom w:val="single" w:sz="8" w:color="202124"/>
            </w:tcBorders>
          </w:tcPr>
          <w:p>
            <w:pPr>
              <w:jc w:val="right"/>
              <w:ind w:right="68"/>
              <w:spacing w:after="0"/>
              <w:rPr>
                <w:sz w:val="20"/>
                <w:szCs w:val="20"/>
                <w:color w:val="auto"/>
              </w:rPr>
            </w:pPr>
            <w:r>
              <w:rPr>
                <w:rFonts w:ascii="Arial" w:cs="Arial" w:eastAsia="Arial" w:hAnsi="Arial"/>
                <w:sz w:val="14"/>
                <w:szCs w:val="14"/>
                <w:color w:val="202124"/>
              </w:rPr>
              <w:t>2,917</w:t>
            </w:r>
          </w:p>
        </w:tc>
        <w:tc>
          <w:tcPr>
            <w:tcW w:w="740" w:type="dxa"/>
            <w:vAlign w:val="bottom"/>
            <w:tcBorders>
              <w:bottom w:val="single" w:sz="8" w:color="202124"/>
            </w:tcBorders>
          </w:tcPr>
          <w:p>
            <w:pPr>
              <w:jc w:val="center"/>
              <w:spacing w:after="0"/>
              <w:rPr>
                <w:sz w:val="20"/>
                <w:szCs w:val="20"/>
                <w:color w:val="auto"/>
              </w:rPr>
            </w:pPr>
            <w:r>
              <w:rPr>
                <w:rFonts w:ascii="Arial" w:cs="Arial" w:eastAsia="Arial" w:hAnsi="Arial"/>
                <w:sz w:val="14"/>
                <w:szCs w:val="14"/>
                <w:color w:val="202124"/>
              </w:rPr>
              <w:t>3,299,639</w:t>
            </w:r>
          </w:p>
        </w:tc>
        <w:tc>
          <w:tcPr>
            <w:tcW w:w="460" w:type="dxa"/>
            <w:vAlign w:val="bottom"/>
            <w:tcBorders>
              <w:bottom w:val="single" w:sz="8" w:color="202124"/>
            </w:tcBorders>
          </w:tcPr>
          <w:p>
            <w:pPr>
              <w:spacing w:after="0"/>
              <w:rPr>
                <w:sz w:val="16"/>
                <w:szCs w:val="16"/>
                <w:color w:val="auto"/>
              </w:rPr>
            </w:pPr>
          </w:p>
        </w:tc>
        <w:tc>
          <w:tcPr>
            <w:tcW w:w="580" w:type="dxa"/>
            <w:vAlign w:val="bottom"/>
            <w:tcBorders>
              <w:bottom w:val="single" w:sz="8" w:color="202124"/>
            </w:tcBorders>
          </w:tcPr>
          <w:p>
            <w:pPr>
              <w:ind w:left="20"/>
              <w:spacing w:after="0"/>
              <w:rPr>
                <w:sz w:val="20"/>
                <w:szCs w:val="20"/>
                <w:color w:val="auto"/>
              </w:rPr>
            </w:pPr>
            <w:r>
              <w:rPr>
                <w:rFonts w:ascii="Arial" w:cs="Arial" w:eastAsia="Arial" w:hAnsi="Arial"/>
                <w:sz w:val="14"/>
                <w:szCs w:val="14"/>
                <w:color w:val="202124"/>
              </w:rPr>
              <w:t>4,348</w:t>
            </w:r>
          </w:p>
        </w:tc>
        <w:tc>
          <w:tcPr>
            <w:tcW w:w="1040" w:type="dxa"/>
            <w:vAlign w:val="bottom"/>
            <w:tcBorders>
              <w:bottom w:val="single" w:sz="8" w:color="202124"/>
            </w:tcBorders>
          </w:tcPr>
          <w:p>
            <w:pPr>
              <w:jc w:val="right"/>
              <w:ind w:right="48"/>
              <w:spacing w:after="0"/>
              <w:rPr>
                <w:sz w:val="20"/>
                <w:szCs w:val="20"/>
                <w:color w:val="auto"/>
              </w:rPr>
            </w:pPr>
            <w:r>
              <w:rPr>
                <w:rFonts w:ascii="Arial" w:cs="Arial" w:eastAsia="Arial" w:hAnsi="Arial"/>
                <w:sz w:val="14"/>
                <w:szCs w:val="14"/>
                <w:color w:val="202124"/>
              </w:rPr>
              <w:t>8,882,258</w:t>
            </w:r>
          </w:p>
        </w:tc>
        <w:tc>
          <w:tcPr>
            <w:tcW w:w="1280" w:type="dxa"/>
            <w:vAlign w:val="bottom"/>
            <w:tcBorders>
              <w:bottom w:val="single" w:sz="8" w:color="202124"/>
            </w:tcBorders>
          </w:tcPr>
          <w:p>
            <w:pPr>
              <w:jc w:val="right"/>
              <w:spacing w:after="0"/>
              <w:rPr>
                <w:sz w:val="20"/>
                <w:szCs w:val="20"/>
                <w:color w:val="auto"/>
              </w:rPr>
            </w:pPr>
            <w:r>
              <w:rPr>
                <w:rFonts w:ascii="Arial" w:cs="Arial" w:eastAsia="Arial" w:hAnsi="Arial"/>
                <w:sz w:val="14"/>
                <w:szCs w:val="14"/>
                <w:color w:val="202124"/>
              </w:rPr>
              <w:t>49.1 %</w:t>
            </w:r>
          </w:p>
        </w:tc>
        <w:tc>
          <w:tcPr>
            <w:tcW w:w="1080" w:type="dxa"/>
            <w:vAlign w:val="bottom"/>
            <w:tcBorders>
              <w:bottom w:val="single" w:sz="8" w:color="202124"/>
            </w:tcBorders>
          </w:tcPr>
          <w:p>
            <w:pPr>
              <w:jc w:val="right"/>
              <w:spacing w:after="0"/>
              <w:rPr>
                <w:sz w:val="20"/>
                <w:szCs w:val="20"/>
                <w:color w:val="auto"/>
              </w:rPr>
            </w:pPr>
            <w:r>
              <w:rPr>
                <w:rFonts w:ascii="Arial" w:cs="Arial" w:eastAsia="Arial" w:hAnsi="Arial"/>
                <w:sz w:val="14"/>
                <w:szCs w:val="14"/>
                <w:color w:val="202124"/>
              </w:rPr>
              <w:t>169.2</w:t>
            </w:r>
          </w:p>
        </w:tc>
        <w:tc>
          <w:tcPr>
            <w:tcW w:w="180" w:type="dxa"/>
            <w:vAlign w:val="bottom"/>
            <w:tcBorders>
              <w:bottom w:val="single" w:sz="8" w:color="202124"/>
            </w:tcBorders>
          </w:tcPr>
          <w:p>
            <w:pPr>
              <w:jc w:val="right"/>
              <w:spacing w:after="0"/>
              <w:rPr>
                <w:sz w:val="20"/>
                <w:szCs w:val="20"/>
                <w:color w:val="auto"/>
              </w:rPr>
            </w:pPr>
            <w:r>
              <w:rPr>
                <w:rFonts w:ascii="Arial" w:cs="Arial" w:eastAsia="Arial" w:hAnsi="Arial"/>
                <w:sz w:val="14"/>
                <w:szCs w:val="14"/>
                <w:color w:val="202124"/>
                <w:w w:val="79"/>
              </w:rPr>
              <w:t>%</w:t>
            </w:r>
          </w:p>
        </w:tc>
        <w:tc>
          <w:tcPr>
            <w:tcW w:w="2080" w:type="dxa"/>
            <w:vAlign w:val="bottom"/>
            <w:tcBorders>
              <w:bottom w:val="single" w:sz="8" w:color="202124"/>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EQUITY AWARD GRANT PRACTICES</w:t>
      </w:r>
    </w:p>
    <w:p>
      <w:pPr>
        <w:spacing w:after="0" w:line="104" w:lineRule="exact"/>
        <w:rPr>
          <w:sz w:val="20"/>
          <w:szCs w:val="20"/>
          <w:color w:val="auto"/>
        </w:rPr>
      </w:pPr>
    </w:p>
    <w:p>
      <w:pPr>
        <w:ind w:left="640" w:right="40"/>
        <w:spacing w:after="0" w:line="239" w:lineRule="auto"/>
        <w:rPr>
          <w:sz w:val="20"/>
          <w:szCs w:val="20"/>
          <w:color w:val="auto"/>
        </w:rPr>
      </w:pPr>
      <w:r>
        <w:rPr>
          <w:rFonts w:ascii="Arial" w:cs="Arial" w:eastAsia="Arial" w:hAnsi="Arial"/>
          <w:sz w:val="18"/>
          <w:szCs w:val="18"/>
          <w:color w:val="202124"/>
        </w:rPr>
        <w:t>The Compensation Committee typically approves annual equity award grants during the regularly scheduled meeting held in the first quarter of the fiscal year, with a grant date of two business days after the conclusion of the meeting. The grant date practice was adopted to allow for the prior disclosure of material nonpublic information, if any, that may be approved by the Board at such meeting. Awards may also be granted outside of this schedule in other limited circumstances, such as the commencement of employment or internal promotion. The Compensation Committee does not grant equity awards in anticipation of the release of material nonpublic information, nor is the timing of disclosures of material nonpublic information based on equity award grant dates. In fiscal year 2026, the Compensation Committee did not grant stock options to any NEO during the period beginning four business days before and ending one business day after the filing or furnishing of a Form 10-K, Form 10-Q or Form 8-K that discloses material non-public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ONE-TIME SPECIAL AWARDS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As a general rule, the Company does not grant one-time special awards to executive officers. However, in limited</w:t>
      </w:r>
    </w:p>
    <w:p>
      <w:pPr>
        <w:spacing w:after="0" w:line="14"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202124"/>
        </w:rPr>
        <w:t>instances, the Company may grant a one-time special sign-on award for the sole purpose of recruiting and attracting high-caliber candidates to the AutoZone Executive Committee. Over the past six years, the Company has only issued one-time</w:t>
      </w:r>
    </w:p>
    <w:p>
      <w:pPr>
        <w:ind w:left="640"/>
        <w:spacing w:after="0" w:line="236" w:lineRule="auto"/>
        <w:rPr>
          <w:sz w:val="20"/>
          <w:szCs w:val="20"/>
          <w:color w:val="auto"/>
        </w:rPr>
      </w:pPr>
      <w:r>
        <w:rPr>
          <w:rFonts w:ascii="Arial" w:cs="Arial" w:eastAsia="Arial" w:hAnsi="Arial"/>
          <w:sz w:val="18"/>
          <w:szCs w:val="18"/>
          <w:color w:val="202124"/>
        </w:rPr>
        <w:t>special awards to executive officers in seven instances, six of which were sign-on awards subject to our typical four-year</w:t>
      </w:r>
    </w:p>
    <w:p>
      <w:pPr>
        <w:spacing w:after="0" w:line="1" w:lineRule="exact"/>
        <w:rPr>
          <w:sz w:val="20"/>
          <w:szCs w:val="20"/>
          <w:color w:val="auto"/>
        </w:rPr>
      </w:pPr>
    </w:p>
    <w:p>
      <w:pPr>
        <w:ind w:left="640" w:right="60"/>
        <w:spacing w:after="0"/>
        <w:rPr>
          <w:sz w:val="20"/>
          <w:szCs w:val="20"/>
          <w:color w:val="auto"/>
        </w:rPr>
      </w:pPr>
      <w:r>
        <w:rPr>
          <w:rFonts w:ascii="Arial" w:cs="Arial" w:eastAsia="Arial" w:hAnsi="Arial"/>
          <w:sz w:val="17"/>
          <w:szCs w:val="17"/>
          <w:color w:val="202124"/>
        </w:rPr>
        <w:t>vesting conditions, and an additional one-time retention grant in FY26 described below. These sign-on awards, consistent with market practice, serve to incentivize external candidates to accept our offer of employment while also providing</w:t>
      </w:r>
    </w:p>
    <w:p>
      <w:pPr>
        <w:ind w:left="640"/>
        <w:spacing w:after="0" w:line="235" w:lineRule="auto"/>
        <w:rPr>
          <w:sz w:val="20"/>
          <w:szCs w:val="20"/>
          <w:color w:val="auto"/>
        </w:rPr>
      </w:pPr>
      <w:r>
        <w:rPr>
          <w:rFonts w:ascii="Arial" w:cs="Arial" w:eastAsia="Arial" w:hAnsi="Arial"/>
          <w:sz w:val="18"/>
          <w:szCs w:val="18"/>
          <w:color w:val="202124"/>
        </w:rPr>
        <w:t>compensation for any unvested awards he or she may have left from their prior employer. Furthermore, providing equity</w:t>
      </w:r>
    </w:p>
    <w:p>
      <w:pPr>
        <w:ind w:left="640" w:right="660"/>
        <w:spacing w:after="0" w:line="237" w:lineRule="auto"/>
        <w:rPr>
          <w:sz w:val="20"/>
          <w:szCs w:val="20"/>
          <w:color w:val="auto"/>
        </w:rPr>
      </w:pPr>
      <w:r>
        <w:rPr>
          <w:rFonts w:ascii="Arial" w:cs="Arial" w:eastAsia="Arial" w:hAnsi="Arial"/>
          <w:sz w:val="18"/>
          <w:szCs w:val="18"/>
          <w:color w:val="202124"/>
        </w:rPr>
        <w:t>subject to multi-year vesting conditions immediately aligns external hires’ interests with those of the balance of the management team and our stockholders.</w:t>
      </w:r>
    </w:p>
    <w:p>
      <w:pPr>
        <w:spacing w:after="0" w:line="140" w:lineRule="exact"/>
        <w:rPr>
          <w:sz w:val="20"/>
          <w:szCs w:val="20"/>
          <w:color w:val="auto"/>
        </w:rPr>
      </w:pPr>
    </w:p>
    <w:p>
      <w:pPr>
        <w:ind w:left="640" w:right="60"/>
        <w:spacing w:after="0" w:line="259" w:lineRule="auto"/>
        <w:rPr>
          <w:sz w:val="20"/>
          <w:szCs w:val="20"/>
          <w:color w:val="auto"/>
        </w:rPr>
      </w:pPr>
      <w:r>
        <w:rPr>
          <w:rFonts w:ascii="Arial" w:cs="Arial" w:eastAsia="Arial" w:hAnsi="Arial"/>
          <w:sz w:val="17"/>
          <w:szCs w:val="17"/>
          <w:color w:val="202124"/>
        </w:rPr>
        <w:t>Although the Company has experienced exceptional executive retention over time, based on the CEO’s recommendation, the Compensation Committee determined that leadership continuity remains particularly important in areas that are</w:t>
      </w:r>
    </w:p>
    <w:p>
      <w:pPr>
        <w:spacing w:after="0" w:line="1" w:lineRule="exact"/>
        <w:rPr>
          <w:sz w:val="20"/>
          <w:szCs w:val="20"/>
          <w:color w:val="auto"/>
        </w:rPr>
      </w:pPr>
    </w:p>
    <w:p>
      <w:pPr>
        <w:ind w:left="640" w:right="140"/>
        <w:spacing w:after="0" w:line="226" w:lineRule="auto"/>
        <w:rPr>
          <w:sz w:val="20"/>
          <w:szCs w:val="20"/>
          <w:color w:val="auto"/>
        </w:rPr>
      </w:pPr>
      <w:r>
        <w:rPr>
          <w:rFonts w:ascii="Arial" w:cs="Arial" w:eastAsia="Arial" w:hAnsi="Arial"/>
          <w:sz w:val="18"/>
          <w:szCs w:val="18"/>
          <w:color w:val="202124"/>
        </w:rPr>
        <w:t>central to the Company's long-term growth strategy. Accordingly, the Compensation Committee approved a one-time retention award, to Senior Vice President - Commercial, Kenneth Jaycox, in August 2026 intended to reinforce long-term</w:t>
      </w:r>
    </w:p>
    <w:p>
      <w:pPr>
        <w:spacing w:after="0" w:line="2" w:lineRule="exact"/>
        <w:rPr>
          <w:sz w:val="20"/>
          <w:szCs w:val="20"/>
          <w:color w:val="auto"/>
        </w:rPr>
      </w:pPr>
    </w:p>
    <w:p>
      <w:pPr>
        <w:ind w:left="640" w:right="140"/>
        <w:spacing w:after="0" w:line="226" w:lineRule="auto"/>
        <w:rPr>
          <w:sz w:val="20"/>
          <w:szCs w:val="20"/>
          <w:color w:val="auto"/>
        </w:rPr>
      </w:pPr>
      <w:r>
        <w:rPr>
          <w:rFonts w:ascii="Arial" w:cs="Arial" w:eastAsia="Arial" w:hAnsi="Arial"/>
          <w:sz w:val="18"/>
          <w:szCs w:val="18"/>
          <w:color w:val="202124"/>
        </w:rPr>
        <w:t>retention and stockholder alignment while supporting continued execution of strategic Commercial growth initiatives. The award was structured with an extended five-year cliff vesting period, a substantial continued-service requirement to</w:t>
      </w:r>
    </w:p>
    <w:p>
      <w:pPr>
        <w:ind w:left="640"/>
        <w:spacing w:after="0" w:line="236" w:lineRule="auto"/>
        <w:rPr>
          <w:sz w:val="20"/>
          <w:szCs w:val="20"/>
          <w:color w:val="auto"/>
        </w:rPr>
      </w:pPr>
      <w:r>
        <w:rPr>
          <w:rFonts w:ascii="Arial" w:cs="Arial" w:eastAsia="Arial" w:hAnsi="Arial"/>
          <w:sz w:val="18"/>
          <w:szCs w:val="18"/>
          <w:color w:val="202124"/>
        </w:rPr>
        <w:t>emphasize long-term value creation and retention. The Compensation Committee does not regularly grant special</w:t>
      </w:r>
    </w:p>
    <w:p>
      <w:pPr>
        <w:spacing w:after="0" w:line="1" w:lineRule="exact"/>
        <w:rPr>
          <w:sz w:val="20"/>
          <w:szCs w:val="20"/>
          <w:color w:val="auto"/>
        </w:rPr>
      </w:pPr>
    </w:p>
    <w:p>
      <w:pPr>
        <w:ind w:left="640" w:right="20"/>
        <w:spacing w:after="0" w:line="237" w:lineRule="auto"/>
        <w:rPr>
          <w:sz w:val="20"/>
          <w:szCs w:val="20"/>
          <w:color w:val="auto"/>
        </w:rPr>
      </w:pPr>
      <w:r>
        <w:rPr>
          <w:rFonts w:ascii="Arial" w:cs="Arial" w:eastAsia="Arial" w:hAnsi="Arial"/>
          <w:sz w:val="18"/>
          <w:szCs w:val="18"/>
          <w:color w:val="202124"/>
        </w:rPr>
        <w:t>retention awards and views such awards as exceptional, to be used only when justified by unique business circumstances and strategic retention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57</w:t>
            </w:r>
          </w:p>
        </w:tc>
      </w:tr>
    </w:tbl>
    <w:p>
      <w:pPr>
        <w:sectPr>
          <w:pgSz w:w="11900" w:h="16838" w:orient="portrait"/>
          <w:cols w:equalWidth="0" w:num="1">
            <w:col w:w="10360"/>
          </w:cols>
          <w:pgMar w:left="440" w:top="106" w:right="1099" w:bottom="1440" w:gutter="0" w:footer="0" w:header="0"/>
        </w:sectPr>
      </w:pPr>
    </w:p>
    <w:bookmarkStart w:id="60" w:name="page61"/>
    <w:bookmarkEnd w:id="6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Other Practices, Policies &amp; Guidelines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STOCK OWNERSHIP GUIDELINES</w:t>
      </w:r>
    </w:p>
    <w:p>
      <w:pPr>
        <w:spacing w:after="0" w:line="104" w:lineRule="exact"/>
        <w:rPr>
          <w:sz w:val="20"/>
          <w:szCs w:val="20"/>
          <w:color w:val="auto"/>
        </w:rPr>
      </w:pPr>
    </w:p>
    <w:p>
      <w:pPr>
        <w:ind w:left="640" w:right="100"/>
        <w:spacing w:after="0" w:line="253" w:lineRule="auto"/>
        <w:rPr>
          <w:sz w:val="20"/>
          <w:szCs w:val="20"/>
          <w:color w:val="auto"/>
        </w:rPr>
      </w:pPr>
      <w:r>
        <w:rPr>
          <w:rFonts w:ascii="Arial" w:cs="Arial" w:eastAsia="Arial" w:hAnsi="Arial"/>
          <w:sz w:val="18"/>
          <w:szCs w:val="18"/>
          <w:color w:val="202124"/>
        </w:rPr>
        <w:t>AutoZone maintains robust stock ownership requirements for all executive officers. With the exception of recently elected directors or recently hired or promoted executives who are each provided with a transition period to comply, all directors and executive officers were in compliance with these stock ownership guidelines as of the end of fiscal 2026.</w:t>
      </w:r>
    </w:p>
    <w:p>
      <w:pPr>
        <w:spacing w:after="0" w:line="269" w:lineRule="exact"/>
        <w:rPr>
          <w:sz w:val="20"/>
          <w:szCs w:val="20"/>
          <w:color w:val="auto"/>
        </w:rPr>
      </w:pPr>
    </w:p>
    <w:tbl>
      <w:tblPr>
        <w:tblLayout w:type="fixed"/>
        <w:tblInd w:w="980" w:type="dxa"/>
        <w:tblCellMar>
          <w:top w:w="0" w:type="dxa"/>
          <w:left w:w="0" w:type="dxa"/>
          <w:bottom w:w="0" w:type="dxa"/>
          <w:right w:w="0" w:type="dxa"/>
        </w:tblCellMar>
      </w:tblPr>
      <w:tr>
        <w:trPr>
          <w:trHeight w:val="259"/>
        </w:trPr>
        <w:tc>
          <w:tcPr>
            <w:tcW w:w="2260" w:type="dxa"/>
            <w:vAlign w:val="bottom"/>
          </w:tcPr>
          <w:p>
            <w:pPr>
              <w:ind w:left="460"/>
              <w:spacing w:after="0"/>
              <w:rPr>
                <w:sz w:val="20"/>
                <w:szCs w:val="20"/>
                <w:color w:val="auto"/>
              </w:rPr>
            </w:pPr>
            <w:r>
              <w:rPr>
                <w:rFonts w:ascii="Arial" w:cs="Arial" w:eastAsia="Arial" w:hAnsi="Arial"/>
                <w:sz w:val="19"/>
                <w:szCs w:val="19"/>
                <w:b w:val="1"/>
                <w:bCs w:val="1"/>
                <w:color w:val="F37F00"/>
              </w:rPr>
              <w:t>REQUIREMENT</w:t>
            </w:r>
          </w:p>
        </w:tc>
        <w:tc>
          <w:tcPr>
            <w:tcW w:w="6800" w:type="dxa"/>
            <w:vAlign w:val="bottom"/>
          </w:tcPr>
          <w:p>
            <w:pPr>
              <w:ind w:left="2780"/>
              <w:spacing w:after="0"/>
              <w:rPr>
                <w:sz w:val="20"/>
                <w:szCs w:val="20"/>
                <w:color w:val="auto"/>
              </w:rPr>
            </w:pPr>
            <w:r>
              <w:rPr>
                <w:rFonts w:ascii="Arial" w:cs="Arial" w:eastAsia="Arial" w:hAnsi="Arial"/>
                <w:sz w:val="19"/>
                <w:szCs w:val="19"/>
                <w:b w:val="1"/>
                <w:bCs w:val="1"/>
                <w:color w:val="F37F00"/>
              </w:rPr>
              <w:t>DESCRIPTION</w:t>
            </w:r>
          </w:p>
        </w:tc>
      </w:tr>
      <w:tr>
        <w:trPr>
          <w:trHeight w:val="78"/>
        </w:trPr>
        <w:tc>
          <w:tcPr>
            <w:tcW w:w="2260" w:type="dxa"/>
            <w:vAlign w:val="bottom"/>
            <w:tcBorders>
              <w:bottom w:val="single" w:sz="8" w:color="F37F00"/>
            </w:tcBorders>
          </w:tcPr>
          <w:p>
            <w:pPr>
              <w:spacing w:after="0"/>
              <w:rPr>
                <w:sz w:val="6"/>
                <w:szCs w:val="6"/>
                <w:color w:val="auto"/>
              </w:rPr>
            </w:pPr>
          </w:p>
        </w:tc>
        <w:tc>
          <w:tcPr>
            <w:tcW w:w="6800" w:type="dxa"/>
            <w:vAlign w:val="bottom"/>
            <w:tcBorders>
              <w:bottom w:val="single" w:sz="8" w:color="F37F00"/>
            </w:tcBorders>
          </w:tcPr>
          <w:p>
            <w:pPr>
              <w:spacing w:after="0"/>
              <w:rPr>
                <w:sz w:val="6"/>
                <w:szCs w:val="6"/>
                <w:color w:val="auto"/>
              </w:rPr>
            </w:pPr>
          </w:p>
        </w:tc>
      </w:tr>
      <w:tr>
        <w:trPr>
          <w:trHeight w:val="322"/>
        </w:trPr>
        <w:tc>
          <w:tcPr>
            <w:tcW w:w="2260" w:type="dxa"/>
            <w:vAlign w:val="bottom"/>
          </w:tcPr>
          <w:p>
            <w:pPr>
              <w:ind w:left="20"/>
              <w:spacing w:after="0"/>
              <w:rPr>
                <w:sz w:val="20"/>
                <w:szCs w:val="20"/>
                <w:color w:val="auto"/>
              </w:rPr>
            </w:pPr>
            <w:r>
              <w:rPr>
                <w:rFonts w:ascii="Arial" w:cs="Arial" w:eastAsia="Arial" w:hAnsi="Arial"/>
                <w:sz w:val="18"/>
                <w:szCs w:val="18"/>
                <w:b w:val="1"/>
                <w:bCs w:val="1"/>
                <w:color w:val="202124"/>
              </w:rPr>
              <w:t>Ownership Requirement</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Directors: 7x Cash portion of Annual Retainer</w:t>
            </w:r>
          </w:p>
        </w:tc>
      </w:tr>
      <w:tr>
        <w:trPr>
          <w:trHeight w:val="270"/>
        </w:trPr>
        <w:tc>
          <w:tcPr>
            <w:tcW w:w="2260" w:type="dxa"/>
            <w:vAlign w:val="bottom"/>
          </w:tcPr>
          <w:p>
            <w:pPr>
              <w:spacing w:after="0"/>
              <w:rPr>
                <w:sz w:val="23"/>
                <w:szCs w:val="23"/>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Chief Executive Officer: 6x base salary</w:t>
            </w:r>
          </w:p>
        </w:tc>
      </w:tr>
      <w:tr>
        <w:trPr>
          <w:trHeight w:val="270"/>
        </w:trPr>
        <w:tc>
          <w:tcPr>
            <w:tcW w:w="2260" w:type="dxa"/>
            <w:vAlign w:val="bottom"/>
          </w:tcPr>
          <w:p>
            <w:pPr>
              <w:spacing w:after="0"/>
              <w:rPr>
                <w:sz w:val="23"/>
                <w:szCs w:val="23"/>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Chief Financial Officer/ Chief Operating Officer: 4x base salary</w:t>
            </w:r>
          </w:p>
        </w:tc>
      </w:tr>
      <w:tr>
        <w:trPr>
          <w:trHeight w:val="270"/>
        </w:trPr>
        <w:tc>
          <w:tcPr>
            <w:tcW w:w="2260" w:type="dxa"/>
            <w:vAlign w:val="bottom"/>
          </w:tcPr>
          <w:p>
            <w:pPr>
              <w:spacing w:after="0"/>
              <w:rPr>
                <w:sz w:val="23"/>
                <w:szCs w:val="23"/>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Executive Vice President: 3x base salary</w:t>
            </w:r>
          </w:p>
        </w:tc>
      </w:tr>
      <w:tr>
        <w:trPr>
          <w:trHeight w:val="270"/>
        </w:trPr>
        <w:tc>
          <w:tcPr>
            <w:tcW w:w="2260" w:type="dxa"/>
            <w:vAlign w:val="bottom"/>
          </w:tcPr>
          <w:p>
            <w:pPr>
              <w:spacing w:after="0"/>
              <w:rPr>
                <w:sz w:val="23"/>
                <w:szCs w:val="23"/>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Senior Vice President: 2x base salary</w:t>
            </w:r>
          </w:p>
        </w:tc>
      </w:tr>
      <w:tr>
        <w:trPr>
          <w:trHeight w:val="118"/>
        </w:trPr>
        <w:tc>
          <w:tcPr>
            <w:tcW w:w="2260" w:type="dxa"/>
            <w:vAlign w:val="bottom"/>
            <w:tcBorders>
              <w:bottom w:val="single" w:sz="8" w:color="F37F00"/>
            </w:tcBorders>
          </w:tcPr>
          <w:p>
            <w:pPr>
              <w:spacing w:after="0"/>
              <w:rPr>
                <w:sz w:val="10"/>
                <w:szCs w:val="10"/>
                <w:color w:val="auto"/>
              </w:rPr>
            </w:pPr>
          </w:p>
        </w:tc>
        <w:tc>
          <w:tcPr>
            <w:tcW w:w="6800" w:type="dxa"/>
            <w:vAlign w:val="bottom"/>
            <w:tcBorders>
              <w:bottom w:val="single" w:sz="8" w:color="F37F00"/>
            </w:tcBorders>
          </w:tcPr>
          <w:p>
            <w:pPr>
              <w:spacing w:after="0"/>
              <w:rPr>
                <w:sz w:val="10"/>
                <w:szCs w:val="10"/>
                <w:color w:val="auto"/>
              </w:rPr>
            </w:pPr>
          </w:p>
        </w:tc>
      </w:tr>
      <w:tr>
        <w:trPr>
          <w:trHeight w:val="231"/>
        </w:trPr>
        <w:tc>
          <w:tcPr>
            <w:tcW w:w="2260" w:type="dxa"/>
            <w:vAlign w:val="bottom"/>
          </w:tcPr>
          <w:p>
            <w:pPr>
              <w:ind w:left="20"/>
              <w:spacing w:after="0"/>
              <w:rPr>
                <w:sz w:val="20"/>
                <w:szCs w:val="20"/>
                <w:color w:val="auto"/>
              </w:rPr>
            </w:pPr>
            <w:r>
              <w:rPr>
                <w:rFonts w:ascii="Arial" w:cs="Arial" w:eastAsia="Arial" w:hAnsi="Arial"/>
                <w:sz w:val="18"/>
                <w:szCs w:val="18"/>
                <w:b w:val="1"/>
                <w:bCs w:val="1"/>
                <w:color w:val="202124"/>
              </w:rPr>
              <w:t>Eligible Equity</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All eligible equity is valued at the closing price of AutoZone common stock as</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of the end of the fiscal year. Eligible equity includes shares that are reportable</w:t>
            </w:r>
          </w:p>
        </w:tc>
      </w:tr>
      <w:tr>
        <w:trPr>
          <w:trHeight w:val="239"/>
        </w:trPr>
        <w:tc>
          <w:tcPr>
            <w:tcW w:w="226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202124"/>
              </w:rPr>
              <w:t>as beneficially owned, whether direct or indirect.</w:t>
            </w:r>
          </w:p>
        </w:tc>
      </w:tr>
      <w:tr>
        <w:trPr>
          <w:trHeight w:val="220"/>
        </w:trPr>
        <w:tc>
          <w:tcPr>
            <w:tcW w:w="2260" w:type="dxa"/>
            <w:vAlign w:val="bottom"/>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No portion of unvested awards or unexercised options are included for</w:t>
            </w:r>
          </w:p>
        </w:tc>
      </w:tr>
      <w:tr>
        <w:trPr>
          <w:trHeight w:val="239"/>
        </w:trPr>
        <w:tc>
          <w:tcPr>
            <w:tcW w:w="226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202124"/>
              </w:rPr>
              <w:t>purposes of determining compliance with these guidelines.</w:t>
            </w:r>
          </w:p>
        </w:tc>
      </w:tr>
      <w:tr>
        <w:trPr>
          <w:trHeight w:val="239"/>
        </w:trPr>
        <w:tc>
          <w:tcPr>
            <w:tcW w:w="2260" w:type="dxa"/>
            <w:vAlign w:val="bottom"/>
            <w:tcBorders>
              <w:bottom w:val="single" w:sz="8" w:color="F37F00"/>
            </w:tcBorders>
          </w:tcPr>
          <w:p>
            <w:pPr>
              <w:spacing w:after="0"/>
              <w:rPr>
                <w:sz w:val="20"/>
                <w:szCs w:val="20"/>
                <w:color w:val="auto"/>
              </w:rPr>
            </w:pPr>
          </w:p>
        </w:tc>
        <w:tc>
          <w:tcPr>
            <w:tcW w:w="6800" w:type="dxa"/>
            <w:vAlign w:val="bottom"/>
            <w:tcBorders>
              <w:bottom w:val="single" w:sz="8" w:color="F37F00"/>
            </w:tcBorders>
          </w:tcPr>
          <w:p>
            <w:pPr>
              <w:spacing w:after="0"/>
              <w:rPr>
                <w:sz w:val="20"/>
                <w:szCs w:val="20"/>
                <w:color w:val="auto"/>
              </w:rPr>
            </w:pPr>
          </w:p>
        </w:tc>
      </w:tr>
      <w:tr>
        <w:trPr>
          <w:trHeight w:val="276"/>
        </w:trPr>
        <w:tc>
          <w:tcPr>
            <w:tcW w:w="2260" w:type="dxa"/>
            <w:vAlign w:val="bottom"/>
          </w:tcPr>
          <w:p>
            <w:pPr>
              <w:ind w:left="20"/>
              <w:spacing w:after="0"/>
              <w:rPr>
                <w:sz w:val="20"/>
                <w:szCs w:val="20"/>
                <w:color w:val="auto"/>
              </w:rPr>
            </w:pPr>
            <w:r>
              <w:rPr>
                <w:rFonts w:ascii="Arial" w:cs="Arial" w:eastAsia="Arial" w:hAnsi="Arial"/>
                <w:sz w:val="18"/>
                <w:szCs w:val="18"/>
                <w:b w:val="1"/>
                <w:bCs w:val="1"/>
                <w:color w:val="202124"/>
              </w:rPr>
              <w:t>Transition Period</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Directors: Within 5 years of joining the Board</w:t>
            </w:r>
          </w:p>
        </w:tc>
      </w:tr>
      <w:tr>
        <w:trPr>
          <w:trHeight w:val="226"/>
        </w:trPr>
        <w:tc>
          <w:tcPr>
            <w:tcW w:w="2260" w:type="dxa"/>
            <w:vAlign w:val="bottom"/>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Executive Officers: Within 5 years of becoming a member of the Executive</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 xml:space="preserve">Committee; </w:t>
            </w:r>
            <w:r>
              <w:rPr>
                <w:rFonts w:ascii="Arial" w:cs="Arial" w:eastAsia="Arial" w:hAnsi="Arial"/>
                <w:sz w:val="18"/>
                <w:szCs w:val="18"/>
                <w:i w:val="1"/>
                <w:iCs w:val="1"/>
                <w:color w:val="202124"/>
              </w:rPr>
              <w:t>provided</w:t>
            </w:r>
            <w:r>
              <w:rPr>
                <w:rFonts w:ascii="Arial" w:cs="Arial" w:eastAsia="Arial" w:hAnsi="Arial"/>
                <w:sz w:val="18"/>
                <w:szCs w:val="18"/>
                <w:color w:val="202124"/>
              </w:rPr>
              <w:t>, any current Executive Committee member promoted to</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another Executive Committee role shall have an additional 3 years from</w:t>
            </w:r>
          </w:p>
        </w:tc>
      </w:tr>
      <w:tr>
        <w:trPr>
          <w:trHeight w:val="239"/>
        </w:trPr>
        <w:tc>
          <w:tcPr>
            <w:tcW w:w="226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202124"/>
              </w:rPr>
              <w:t>promotion date to achieve higher requirement.</w:t>
            </w:r>
          </w:p>
        </w:tc>
      </w:tr>
      <w:tr>
        <w:trPr>
          <w:trHeight w:val="226"/>
        </w:trPr>
        <w:tc>
          <w:tcPr>
            <w:tcW w:w="2260" w:type="dxa"/>
            <w:vAlign w:val="bottom"/>
            <w:tcBorders>
              <w:bottom w:val="single" w:sz="8" w:color="F37F00"/>
            </w:tcBorders>
          </w:tcPr>
          <w:p>
            <w:pPr>
              <w:spacing w:after="0"/>
              <w:rPr>
                <w:sz w:val="19"/>
                <w:szCs w:val="19"/>
                <w:color w:val="auto"/>
              </w:rPr>
            </w:pPr>
          </w:p>
        </w:tc>
        <w:tc>
          <w:tcPr>
            <w:tcW w:w="6800" w:type="dxa"/>
            <w:vAlign w:val="bottom"/>
            <w:tcBorders>
              <w:bottom w:val="single" w:sz="8" w:color="F37F00"/>
            </w:tcBorders>
          </w:tcPr>
          <w:p>
            <w:pPr>
              <w:spacing w:after="0"/>
              <w:rPr>
                <w:sz w:val="19"/>
                <w:szCs w:val="19"/>
                <w:color w:val="auto"/>
              </w:rPr>
            </w:pPr>
          </w:p>
        </w:tc>
      </w:tr>
      <w:tr>
        <w:trPr>
          <w:trHeight w:val="231"/>
        </w:trPr>
        <w:tc>
          <w:tcPr>
            <w:tcW w:w="2260" w:type="dxa"/>
            <w:vAlign w:val="bottom"/>
          </w:tcPr>
          <w:p>
            <w:pPr>
              <w:ind w:left="20"/>
              <w:spacing w:after="0"/>
              <w:rPr>
                <w:sz w:val="20"/>
                <w:szCs w:val="20"/>
                <w:color w:val="auto"/>
              </w:rPr>
            </w:pPr>
            <w:r>
              <w:rPr>
                <w:rFonts w:ascii="Arial" w:cs="Arial" w:eastAsia="Arial" w:hAnsi="Arial"/>
                <w:sz w:val="18"/>
                <w:szCs w:val="18"/>
                <w:b w:val="1"/>
                <w:bCs w:val="1"/>
                <w:color w:val="202124"/>
              </w:rPr>
              <w:t>Holding Requirements</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Individuals not in compliance will be required to hold 50% of the shares</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acquired upon exercise of stock options or distribution of restricted stock units</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(after permitting the sale of shares to cover taxes due) and may not otherwise</w:t>
            </w:r>
          </w:p>
        </w:tc>
      </w:tr>
      <w:tr>
        <w:trPr>
          <w:trHeight w:val="239"/>
        </w:trPr>
        <w:tc>
          <w:tcPr>
            <w:tcW w:w="226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202124"/>
              </w:rPr>
              <w:t>sell any shares of AZO.</w:t>
            </w:r>
          </w:p>
        </w:tc>
      </w:tr>
      <w:tr>
        <w:trPr>
          <w:trHeight w:val="220"/>
        </w:trPr>
        <w:tc>
          <w:tcPr>
            <w:tcW w:w="2260" w:type="dxa"/>
            <w:vAlign w:val="bottom"/>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Guidelines will no longer apply after an executive officer reaches age 62 in</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order to facilitate appropriate financial planning as potential retirement</w:t>
            </w:r>
          </w:p>
        </w:tc>
      </w:tr>
      <w:tr>
        <w:trPr>
          <w:trHeight w:val="203"/>
        </w:trPr>
        <w:tc>
          <w:tcPr>
            <w:tcW w:w="2260" w:type="dxa"/>
            <w:vAlign w:val="bottom"/>
          </w:tcPr>
          <w:p>
            <w:pPr>
              <w:spacing w:after="0"/>
              <w:rPr>
                <w:sz w:val="17"/>
                <w:szCs w:val="17"/>
                <w:color w:val="auto"/>
              </w:rPr>
            </w:pPr>
          </w:p>
        </w:tc>
        <w:tc>
          <w:tcPr>
            <w:tcW w:w="6800" w:type="dxa"/>
            <w:vAlign w:val="bottom"/>
          </w:tcPr>
          <w:p>
            <w:pPr>
              <w:ind w:left="500"/>
              <w:spacing w:after="0" w:line="202" w:lineRule="exact"/>
              <w:rPr>
                <w:sz w:val="20"/>
                <w:szCs w:val="20"/>
                <w:color w:val="auto"/>
              </w:rPr>
            </w:pPr>
            <w:r>
              <w:rPr>
                <w:rFonts w:ascii="Arial" w:cs="Arial" w:eastAsia="Arial" w:hAnsi="Arial"/>
                <w:sz w:val="18"/>
                <w:szCs w:val="18"/>
                <w:color w:val="202124"/>
              </w:rPr>
              <w:t>approaches. The Compensation Committee may waive the guidelines for any</w:t>
            </w:r>
          </w:p>
        </w:tc>
      </w:tr>
      <w:tr>
        <w:trPr>
          <w:trHeight w:val="239"/>
        </w:trPr>
        <w:tc>
          <w:tcPr>
            <w:tcW w:w="226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202124"/>
              </w:rPr>
              <w:t>other executive at its discretion.</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UNLAWFUL INSIDER TRADING AND ANTI-HEDGING POLICY</w:t>
      </w:r>
    </w:p>
    <w:p>
      <w:pPr>
        <w:spacing w:after="0" w:line="90" w:lineRule="exact"/>
        <w:rPr>
          <w:sz w:val="20"/>
          <w:szCs w:val="20"/>
          <w:color w:val="auto"/>
        </w:rPr>
      </w:pPr>
    </w:p>
    <w:p>
      <w:pPr>
        <w:jc w:val="both"/>
        <w:ind w:left="640" w:right="320"/>
        <w:spacing w:after="0" w:line="245" w:lineRule="auto"/>
        <w:rPr>
          <w:sz w:val="20"/>
          <w:szCs w:val="20"/>
          <w:color w:val="auto"/>
        </w:rPr>
      </w:pPr>
      <w:r>
        <w:rPr>
          <w:rFonts w:ascii="Arial" w:cs="Arial" w:eastAsia="Arial" w:hAnsi="Arial"/>
          <w:sz w:val="18"/>
          <w:szCs w:val="18"/>
          <w:color w:val="202124"/>
        </w:rPr>
        <w:t>AutoZone has adopted policies and procedures designed to prohibit unlawful insider trading, hedging transactions and related practices. Specifically, AutoZone’s employees, officers and its Board of Directors are prohibited from trading in</w:t>
      </w:r>
    </w:p>
    <w:p>
      <w:pPr>
        <w:ind w:left="640" w:right="240"/>
        <w:spacing w:after="0" w:line="226" w:lineRule="auto"/>
        <w:rPr>
          <w:sz w:val="20"/>
          <w:szCs w:val="20"/>
          <w:color w:val="auto"/>
        </w:rPr>
      </w:pPr>
      <w:r>
        <w:rPr>
          <w:rFonts w:ascii="Arial" w:cs="Arial" w:eastAsia="Arial" w:hAnsi="Arial"/>
          <w:sz w:val="18"/>
          <w:szCs w:val="18"/>
          <w:color w:val="202124"/>
        </w:rPr>
        <w:t>AutoZone securities while in possession of material, nonpublic information, from pledging AutoZone securities as collateral, holding AutoZone securities in a margin account and entering into transactions that are designed to hedge or</w:t>
      </w:r>
    </w:p>
    <w:p>
      <w:pPr>
        <w:ind w:left="640"/>
        <w:spacing w:after="0" w:line="236" w:lineRule="auto"/>
        <w:rPr>
          <w:sz w:val="20"/>
          <w:szCs w:val="20"/>
          <w:color w:val="auto"/>
        </w:rPr>
      </w:pPr>
      <w:r>
        <w:rPr>
          <w:rFonts w:ascii="Arial" w:cs="Arial" w:eastAsia="Arial" w:hAnsi="Arial"/>
          <w:sz w:val="18"/>
          <w:szCs w:val="18"/>
          <w:color w:val="202124"/>
        </w:rPr>
        <w:t>offset decreases in the market value of AutoZone securities. Prohibited transactions include equity swaps, prepaid</w:t>
      </w:r>
    </w:p>
    <w:p>
      <w:pPr>
        <w:spacing w:after="0" w:line="1" w:lineRule="exact"/>
        <w:rPr>
          <w:sz w:val="20"/>
          <w:szCs w:val="20"/>
          <w:color w:val="auto"/>
        </w:rPr>
      </w:pPr>
    </w:p>
    <w:p>
      <w:pPr>
        <w:ind w:left="640" w:right="240"/>
        <w:spacing w:after="0"/>
        <w:rPr>
          <w:sz w:val="20"/>
          <w:szCs w:val="20"/>
          <w:color w:val="auto"/>
        </w:rPr>
      </w:pPr>
      <w:r>
        <w:rPr>
          <w:rFonts w:ascii="Arial" w:cs="Arial" w:eastAsia="Arial" w:hAnsi="Arial"/>
          <w:sz w:val="17"/>
          <w:szCs w:val="17"/>
          <w:color w:val="202124"/>
        </w:rPr>
        <w:t>variable forward contracts, put or call options (other than employee stock option grants), short sales or other derivative instruments. Additionally, certain AutoZoners and officers are subject to routine and non-routine blackout periods during</w:t>
      </w:r>
    </w:p>
    <w:p>
      <w:pPr>
        <w:spacing w:after="0" w:line="1" w:lineRule="exact"/>
        <w:rPr>
          <w:sz w:val="20"/>
          <w:szCs w:val="20"/>
          <w:color w:val="auto"/>
        </w:rPr>
      </w:pPr>
    </w:p>
    <w:p>
      <w:pPr>
        <w:ind w:left="640" w:right="460"/>
        <w:spacing w:after="0" w:line="250" w:lineRule="auto"/>
        <w:rPr>
          <w:sz w:val="20"/>
          <w:szCs w:val="20"/>
          <w:color w:val="auto"/>
        </w:rPr>
      </w:pPr>
      <w:r>
        <w:rPr>
          <w:rFonts w:ascii="Arial" w:cs="Arial" w:eastAsia="Arial" w:hAnsi="Arial"/>
          <w:sz w:val="18"/>
          <w:szCs w:val="18"/>
          <w:color w:val="202124"/>
        </w:rPr>
        <w:t>which times trading in our securities is not permitted, as well as pre-clearance procedures to ensure compliance with applicable internal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58   </w:t>
      </w:r>
      <w:r>
        <w:rPr>
          <w:sz w:val="1"/>
          <w:szCs w:val="1"/>
          <w:color w:val="auto"/>
        </w:rPr>
        <w:drawing>
          <wp:inline distT="0" distB="0" distL="0" distR="0">
            <wp:extent cx="116586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61" w:name="page62"/>
    <w:bookmarkEnd w:id="6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CLAWBACK POLICY</w:t>
      </w:r>
    </w:p>
    <w:p>
      <w:pPr>
        <w:spacing w:after="0" w:line="117" w:lineRule="exact"/>
        <w:rPr>
          <w:sz w:val="20"/>
          <w:szCs w:val="20"/>
          <w:color w:val="auto"/>
        </w:rPr>
      </w:pPr>
    </w:p>
    <w:p>
      <w:pPr>
        <w:ind w:left="640" w:right="80"/>
        <w:spacing w:after="0" w:line="259" w:lineRule="auto"/>
        <w:rPr>
          <w:sz w:val="20"/>
          <w:szCs w:val="20"/>
          <w:color w:val="auto"/>
        </w:rPr>
      </w:pPr>
      <w:r>
        <w:rPr>
          <w:rFonts w:ascii="Arial" w:cs="Arial" w:eastAsia="Arial" w:hAnsi="Arial"/>
          <w:sz w:val="17"/>
          <w:szCs w:val="17"/>
          <w:color w:val="202124"/>
        </w:rPr>
        <w:t>AutoZone adopted an incentive compensation recovery, or “Clawback Policy” that applied to current and former members of the AutoZone Executive Committee. Consistent with the final rules adopted by the SEC and NYSE, the Compensation</w:t>
      </w:r>
    </w:p>
    <w:p>
      <w:pPr>
        <w:spacing w:after="0" w:line="1" w:lineRule="exact"/>
        <w:rPr>
          <w:sz w:val="20"/>
          <w:szCs w:val="20"/>
          <w:color w:val="auto"/>
        </w:rPr>
      </w:pPr>
    </w:p>
    <w:p>
      <w:pPr>
        <w:ind w:left="640" w:right="400"/>
        <w:spacing w:after="0" w:line="237" w:lineRule="auto"/>
        <w:rPr>
          <w:sz w:val="20"/>
          <w:szCs w:val="20"/>
          <w:color w:val="auto"/>
        </w:rPr>
      </w:pPr>
      <w:r>
        <w:rPr>
          <w:rFonts w:ascii="Arial" w:cs="Arial" w:eastAsia="Arial" w:hAnsi="Arial"/>
          <w:sz w:val="18"/>
          <w:szCs w:val="18"/>
          <w:color w:val="202124"/>
        </w:rPr>
        <w:t>Committee has adopted a revised Clawback Policy, which is summarized below. The complete text of such Clawback Policy is included as an exhibit to our FY26 Form 10-K.</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Non-Discretionary Clawback in the event of a Financial Restatement</w:t>
      </w:r>
      <w:r>
        <w:rPr>
          <w:rFonts w:ascii="Arial" w:cs="Arial" w:eastAsia="Arial" w:hAnsi="Arial"/>
          <w:sz w:val="18"/>
          <w:szCs w:val="18"/>
          <w:color w:val="202124"/>
        </w:rPr>
        <w:t>. In the event that AutoZone is required to</w:t>
      </w:r>
    </w:p>
    <w:p>
      <w:pPr>
        <w:spacing w:after="0" w:line="14" w:lineRule="exact"/>
        <w:rPr>
          <w:sz w:val="20"/>
          <w:szCs w:val="20"/>
          <w:color w:val="auto"/>
        </w:rPr>
      </w:pPr>
    </w:p>
    <w:p>
      <w:pPr>
        <w:ind w:left="640" w:right="240"/>
        <w:spacing w:after="0" w:line="226" w:lineRule="auto"/>
        <w:rPr>
          <w:sz w:val="20"/>
          <w:szCs w:val="20"/>
          <w:color w:val="auto"/>
        </w:rPr>
      </w:pPr>
      <w:r>
        <w:rPr>
          <w:rFonts w:ascii="Arial" w:cs="Arial" w:eastAsia="Arial" w:hAnsi="Arial"/>
          <w:sz w:val="18"/>
          <w:szCs w:val="18"/>
          <w:color w:val="202124"/>
        </w:rPr>
        <w:t>prepare an accounting restatement to correct an error that is material to the previously issued financial statements or would result in a material misstatement if the error were corrected in the current period or left uncorrected in the current</w:t>
      </w:r>
    </w:p>
    <w:p>
      <w:pPr>
        <w:ind w:left="640"/>
        <w:spacing w:after="0" w:line="236" w:lineRule="auto"/>
        <w:rPr>
          <w:sz w:val="20"/>
          <w:szCs w:val="20"/>
          <w:color w:val="auto"/>
        </w:rPr>
      </w:pPr>
      <w:r>
        <w:rPr>
          <w:rFonts w:ascii="Arial" w:cs="Arial" w:eastAsia="Arial" w:hAnsi="Arial"/>
          <w:sz w:val="18"/>
          <w:szCs w:val="18"/>
          <w:color w:val="202124"/>
        </w:rPr>
        <w:t>period, the Company will seek to recover erroneously awarded incentive compensation received by any current or former</w:t>
      </w:r>
    </w:p>
    <w:p>
      <w:pPr>
        <w:spacing w:after="0" w:line="1" w:lineRule="exact"/>
        <w:rPr>
          <w:sz w:val="20"/>
          <w:szCs w:val="20"/>
          <w:color w:val="auto"/>
        </w:rPr>
      </w:pPr>
    </w:p>
    <w:p>
      <w:pPr>
        <w:ind w:left="640" w:right="360"/>
        <w:spacing w:after="0"/>
        <w:rPr>
          <w:sz w:val="20"/>
          <w:szCs w:val="20"/>
          <w:color w:val="auto"/>
        </w:rPr>
      </w:pPr>
      <w:r>
        <w:rPr>
          <w:rFonts w:ascii="Arial" w:cs="Arial" w:eastAsia="Arial" w:hAnsi="Arial"/>
          <w:sz w:val="17"/>
          <w:szCs w:val="17"/>
          <w:color w:val="202124"/>
        </w:rPr>
        <w:t>executive officer during the immediately preceding three fiscal years. This is a “no fault” policy, meaning that it may be triggered in the absence of fraud or willful misconduct by the executive. “Erroneous” compensation is the amount of</w:t>
      </w:r>
    </w:p>
    <w:p>
      <w:pPr>
        <w:spacing w:after="0" w:line="1" w:lineRule="exact"/>
        <w:rPr>
          <w:sz w:val="20"/>
          <w:szCs w:val="20"/>
          <w:color w:val="auto"/>
        </w:rPr>
      </w:pPr>
    </w:p>
    <w:p>
      <w:pPr>
        <w:jc w:val="both"/>
        <w:ind w:left="640" w:right="280"/>
        <w:spacing w:after="0" w:line="250" w:lineRule="auto"/>
        <w:rPr>
          <w:sz w:val="20"/>
          <w:szCs w:val="20"/>
          <w:color w:val="auto"/>
        </w:rPr>
      </w:pPr>
      <w:r>
        <w:rPr>
          <w:rFonts w:ascii="Arial" w:cs="Arial" w:eastAsia="Arial" w:hAnsi="Arial"/>
          <w:sz w:val="18"/>
          <w:szCs w:val="18"/>
          <w:color w:val="202124"/>
        </w:rPr>
        <w:t>compensation that is granted, earned or vested based upon attainment of a financial reporting measure included in an accounting restatement above what would have been received had the financial statements in question been accurate.</w:t>
      </w:r>
    </w:p>
    <w:p>
      <w:pPr>
        <w:spacing w:after="0" w:line="131" w:lineRule="exact"/>
        <w:rPr>
          <w:sz w:val="20"/>
          <w:szCs w:val="20"/>
          <w:color w:val="auto"/>
        </w:rPr>
      </w:pPr>
    </w:p>
    <w:p>
      <w:pPr>
        <w:ind w:left="640" w:right="160"/>
        <w:spacing w:after="0" w:line="237" w:lineRule="auto"/>
        <w:rPr>
          <w:sz w:val="20"/>
          <w:szCs w:val="20"/>
          <w:color w:val="auto"/>
        </w:rPr>
      </w:pPr>
      <w:r>
        <w:rPr>
          <w:rFonts w:ascii="Arial" w:cs="Arial" w:eastAsia="Arial" w:hAnsi="Arial"/>
          <w:sz w:val="18"/>
          <w:szCs w:val="18"/>
          <w:b w:val="1"/>
          <w:bCs w:val="1"/>
          <w:color w:val="202124"/>
        </w:rPr>
        <w:t xml:space="preserve">Discretionary Clawback in the event of Willful Misconduct. </w:t>
      </w:r>
      <w:r>
        <w:rPr>
          <w:rFonts w:ascii="Arial" w:cs="Arial" w:eastAsia="Arial" w:hAnsi="Arial"/>
          <w:sz w:val="18"/>
          <w:szCs w:val="18"/>
          <w:color w:val="202124"/>
        </w:rPr>
        <w:t>Additionally, the Board, in its sole discretion, may seek to</w:t>
      </w:r>
      <w:r>
        <w:rPr>
          <w:rFonts w:ascii="Arial" w:cs="Arial" w:eastAsia="Arial" w:hAnsi="Arial"/>
          <w:sz w:val="18"/>
          <w:szCs w:val="18"/>
          <w:b w:val="1"/>
          <w:bCs w:val="1"/>
          <w:color w:val="202124"/>
        </w:rPr>
        <w:t xml:space="preserve"> </w:t>
      </w:r>
      <w:r>
        <w:rPr>
          <w:rFonts w:ascii="Arial" w:cs="Arial" w:eastAsia="Arial" w:hAnsi="Arial"/>
          <w:sz w:val="18"/>
          <w:szCs w:val="18"/>
          <w:color w:val="202124"/>
        </w:rPr>
        <w:t>recover incentive compensation received by any current or former executive officer during the immediately preceding</w:t>
      </w:r>
    </w:p>
    <w:p>
      <w:pPr>
        <w:spacing w:after="0" w:line="1" w:lineRule="exact"/>
        <w:rPr>
          <w:sz w:val="20"/>
          <w:szCs w:val="20"/>
          <w:color w:val="auto"/>
        </w:rPr>
      </w:pPr>
    </w:p>
    <w:p>
      <w:pPr>
        <w:ind w:left="640" w:right="500"/>
        <w:spacing w:after="0" w:line="237" w:lineRule="auto"/>
        <w:rPr>
          <w:sz w:val="20"/>
          <w:szCs w:val="20"/>
          <w:color w:val="auto"/>
        </w:rPr>
      </w:pPr>
      <w:r>
        <w:rPr>
          <w:rFonts w:ascii="Arial" w:cs="Arial" w:eastAsia="Arial" w:hAnsi="Arial"/>
          <w:sz w:val="18"/>
          <w:szCs w:val="18"/>
          <w:color w:val="202124"/>
        </w:rPr>
        <w:t>three fiscal years in the event such executive officer willfully engaged in conduct which is demonstrably or materially injurious to AutoZone, monetarily or otherwise.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BENEFITS</w:t>
      </w:r>
    </w:p>
    <w:p>
      <w:pPr>
        <w:spacing w:after="0" w:line="171" w:lineRule="exact"/>
        <w:rPr>
          <w:sz w:val="20"/>
          <w:szCs w:val="20"/>
          <w:color w:val="auto"/>
        </w:rPr>
      </w:pPr>
    </w:p>
    <w:p>
      <w:pPr>
        <w:ind w:left="640" w:right="40"/>
        <w:spacing w:after="0" w:line="237" w:lineRule="auto"/>
        <w:rPr>
          <w:sz w:val="20"/>
          <w:szCs w:val="20"/>
          <w:color w:val="auto"/>
        </w:rPr>
      </w:pPr>
      <w:r>
        <w:rPr>
          <w:rFonts w:ascii="Arial" w:cs="Arial" w:eastAsia="Arial" w:hAnsi="Arial"/>
          <w:sz w:val="18"/>
          <w:szCs w:val="18"/>
          <w:color w:val="202124"/>
        </w:rPr>
        <w:t>Our executive officers participate in certain benefits on the same terms that are offered to all of our full-time U.S. salaried AutoZoners. We also provide them with limited additional benefits and perquisites for retention and recruiting purposes, to</w:t>
      </w:r>
    </w:p>
    <w:p>
      <w:pPr>
        <w:ind w:left="640"/>
        <w:spacing w:after="0" w:line="235" w:lineRule="auto"/>
        <w:rPr>
          <w:sz w:val="20"/>
          <w:szCs w:val="20"/>
          <w:color w:val="auto"/>
        </w:rPr>
      </w:pPr>
      <w:r>
        <w:rPr>
          <w:rFonts w:ascii="Arial" w:cs="Arial" w:eastAsia="Arial" w:hAnsi="Arial"/>
          <w:sz w:val="18"/>
          <w:szCs w:val="18"/>
          <w:color w:val="202124"/>
        </w:rPr>
        <w:t>replace benefit opportunities lost due to regulatory limits, and to enhance their ability to focus on our business. We do not</w:t>
      </w:r>
    </w:p>
    <w:p>
      <w:pPr>
        <w:spacing w:after="0" w:line="1" w:lineRule="exact"/>
        <w:rPr>
          <w:sz w:val="20"/>
          <w:szCs w:val="20"/>
          <w:color w:val="auto"/>
        </w:rPr>
      </w:pPr>
    </w:p>
    <w:p>
      <w:pPr>
        <w:ind w:left="640" w:right="120"/>
        <w:spacing w:after="0" w:line="237" w:lineRule="auto"/>
        <w:rPr>
          <w:sz w:val="20"/>
          <w:szCs w:val="20"/>
          <w:color w:val="auto"/>
        </w:rPr>
      </w:pPr>
      <w:r>
        <w:rPr>
          <w:rFonts w:ascii="Arial" w:cs="Arial" w:eastAsia="Arial" w:hAnsi="Arial"/>
          <w:sz w:val="18"/>
          <w:szCs w:val="18"/>
          <w:color w:val="202124"/>
        </w:rPr>
        <w:t>provide tax gross-up payments for named executive officers on any benefits and perquisites other than relocation-related items. The primary additional benefits and perquisites include the following:</w:t>
      </w:r>
    </w:p>
    <w:p>
      <w:pPr>
        <w:spacing w:after="0" w:line="341" w:lineRule="exact"/>
        <w:rPr>
          <w:sz w:val="20"/>
          <w:szCs w:val="20"/>
          <w:color w:val="auto"/>
        </w:rPr>
      </w:pPr>
    </w:p>
    <w:tbl>
      <w:tblPr>
        <w:tblLayout w:type="fixed"/>
        <w:tblInd w:w="980" w:type="dxa"/>
        <w:tblCellMar>
          <w:top w:w="0" w:type="dxa"/>
          <w:left w:w="0" w:type="dxa"/>
          <w:bottom w:w="0" w:type="dxa"/>
          <w:right w:w="0" w:type="dxa"/>
        </w:tblCellMar>
      </w:tblPr>
      <w:tr>
        <w:trPr>
          <w:trHeight w:val="372"/>
        </w:trPr>
        <w:tc>
          <w:tcPr>
            <w:tcW w:w="5240" w:type="dxa"/>
            <w:vAlign w:val="bottom"/>
            <w:tcBorders>
              <w:bottom w:val="single" w:sz="8" w:color="F37F00"/>
            </w:tcBorders>
          </w:tcPr>
          <w:p>
            <w:pPr>
              <w:ind w:left="2420"/>
              <w:spacing w:after="0"/>
              <w:rPr>
                <w:sz w:val="20"/>
                <w:szCs w:val="20"/>
                <w:color w:val="auto"/>
              </w:rPr>
            </w:pPr>
            <w:r>
              <w:rPr>
                <w:rFonts w:ascii="Arial" w:cs="Arial" w:eastAsia="Arial" w:hAnsi="Arial"/>
                <w:sz w:val="19"/>
                <w:szCs w:val="19"/>
                <w:b w:val="1"/>
                <w:bCs w:val="1"/>
                <w:color w:val="F37F00"/>
              </w:rPr>
              <w:t>Benefit</w:t>
            </w:r>
          </w:p>
        </w:tc>
        <w:tc>
          <w:tcPr>
            <w:tcW w:w="600" w:type="dxa"/>
            <w:vAlign w:val="bottom"/>
            <w:tcBorders>
              <w:bottom w:val="single" w:sz="8" w:color="F37F00"/>
            </w:tcBorders>
          </w:tcPr>
          <w:p>
            <w:pPr>
              <w:spacing w:after="0"/>
              <w:rPr>
                <w:sz w:val="24"/>
                <w:szCs w:val="24"/>
                <w:color w:val="auto"/>
              </w:rPr>
            </w:pPr>
          </w:p>
        </w:tc>
        <w:tc>
          <w:tcPr>
            <w:tcW w:w="3220" w:type="dxa"/>
            <w:vAlign w:val="bottom"/>
            <w:tcBorders>
              <w:bottom w:val="single" w:sz="8" w:color="F37F00"/>
            </w:tcBorders>
          </w:tcPr>
          <w:p>
            <w:pPr>
              <w:ind w:left="760"/>
              <w:spacing w:after="0"/>
              <w:rPr>
                <w:sz w:val="20"/>
                <w:szCs w:val="20"/>
                <w:color w:val="auto"/>
              </w:rPr>
            </w:pPr>
            <w:r>
              <w:rPr>
                <w:rFonts w:ascii="Arial" w:cs="Arial" w:eastAsia="Arial" w:hAnsi="Arial"/>
                <w:sz w:val="19"/>
                <w:szCs w:val="19"/>
                <w:b w:val="1"/>
                <w:bCs w:val="1"/>
                <w:color w:val="F37F00"/>
              </w:rPr>
              <w:t>Availability</w:t>
            </w:r>
            <w:r>
              <w:rPr>
                <w:rFonts w:ascii="Arial" w:cs="Arial" w:eastAsia="Arial" w:hAnsi="Arial"/>
                <w:sz w:val="28"/>
                <w:szCs w:val="28"/>
                <w:b w:val="1"/>
                <w:bCs w:val="1"/>
                <w:color w:val="F37F00"/>
                <w:vertAlign w:val="superscript"/>
              </w:rPr>
              <w:t>(1)(2)</w:t>
            </w:r>
          </w:p>
        </w:tc>
      </w:tr>
      <w:tr>
        <w:trPr>
          <w:trHeight w:val="268"/>
        </w:trPr>
        <w:tc>
          <w:tcPr>
            <w:tcW w:w="5240" w:type="dxa"/>
            <w:vAlign w:val="bottom"/>
          </w:tcPr>
          <w:p>
            <w:pPr>
              <w:ind w:left="60"/>
              <w:spacing w:after="0"/>
              <w:rPr>
                <w:sz w:val="20"/>
                <w:szCs w:val="20"/>
                <w:color w:val="auto"/>
              </w:rPr>
            </w:pPr>
            <w:r>
              <w:rPr>
                <w:rFonts w:ascii="Arial" w:cs="Arial" w:eastAsia="Arial" w:hAnsi="Arial"/>
                <w:sz w:val="18"/>
                <w:szCs w:val="18"/>
                <w:color w:val="202124"/>
              </w:rPr>
              <w:t>Employee Stock Purchase Plan (ESPP)</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F37F00"/>
              </w:rPr>
              <w:t>●</w:t>
            </w:r>
          </w:p>
        </w:tc>
        <w:tc>
          <w:tcPr>
            <w:tcW w:w="3220" w:type="dxa"/>
            <w:vAlign w:val="bottom"/>
          </w:tcPr>
          <w:p>
            <w:pPr>
              <w:ind w:left="120"/>
              <w:spacing w:after="0"/>
              <w:rPr>
                <w:sz w:val="20"/>
                <w:szCs w:val="20"/>
                <w:color w:val="auto"/>
              </w:rPr>
            </w:pPr>
            <w:r>
              <w:rPr>
                <w:rFonts w:ascii="Arial" w:cs="Arial" w:eastAsia="Arial" w:hAnsi="Arial"/>
                <w:sz w:val="18"/>
                <w:szCs w:val="18"/>
                <w:color w:val="202124"/>
              </w:rPr>
              <w:t>All U.S. AutoZoners</w:t>
            </w:r>
          </w:p>
        </w:tc>
      </w:tr>
      <w:tr>
        <w:trPr>
          <w:trHeight w:val="131"/>
        </w:trPr>
        <w:tc>
          <w:tcPr>
            <w:tcW w:w="5240" w:type="dxa"/>
            <w:vAlign w:val="bottom"/>
            <w:tcBorders>
              <w:bottom w:val="single" w:sz="8" w:color="F37F00"/>
            </w:tcBorders>
          </w:tcPr>
          <w:p>
            <w:pPr>
              <w:spacing w:after="0"/>
              <w:rPr>
                <w:sz w:val="11"/>
                <w:szCs w:val="11"/>
                <w:color w:val="auto"/>
              </w:rPr>
            </w:pPr>
          </w:p>
        </w:tc>
        <w:tc>
          <w:tcPr>
            <w:tcW w:w="3820" w:type="dxa"/>
            <w:vAlign w:val="bottom"/>
            <w:tcBorders>
              <w:bottom w:val="single" w:sz="8" w:color="F37F00"/>
            </w:tcBorders>
            <w:gridSpan w:val="2"/>
          </w:tcPr>
          <w:p>
            <w:pPr>
              <w:spacing w:after="0"/>
              <w:rPr>
                <w:sz w:val="11"/>
                <w:szCs w:val="11"/>
                <w:color w:val="auto"/>
              </w:rPr>
            </w:pPr>
          </w:p>
        </w:tc>
      </w:tr>
      <w:tr>
        <w:trPr>
          <w:trHeight w:val="392"/>
        </w:trPr>
        <w:tc>
          <w:tcPr>
            <w:tcW w:w="5240" w:type="dxa"/>
            <w:vAlign w:val="bottom"/>
            <w:tcBorders>
              <w:bottom w:val="single" w:sz="8" w:color="F37F00"/>
            </w:tcBorders>
          </w:tcPr>
          <w:p>
            <w:pPr>
              <w:ind w:left="60"/>
              <w:spacing w:after="0"/>
              <w:rPr>
                <w:sz w:val="20"/>
                <w:szCs w:val="20"/>
                <w:color w:val="auto"/>
              </w:rPr>
            </w:pPr>
            <w:r>
              <w:rPr>
                <w:rFonts w:ascii="Arial" w:cs="Arial" w:eastAsia="Arial" w:hAnsi="Arial"/>
                <w:sz w:val="18"/>
                <w:szCs w:val="18"/>
                <w:color w:val="202124"/>
              </w:rPr>
              <w:t xml:space="preserve">Executive Stock Purchase Plan (XSPP) </w:t>
            </w:r>
            <w:r>
              <w:rPr>
                <w:rFonts w:ascii="Arial" w:cs="Arial" w:eastAsia="Arial" w:hAnsi="Arial"/>
                <w:sz w:val="26"/>
                <w:szCs w:val="26"/>
                <w:color w:val="202124"/>
                <w:vertAlign w:val="superscript"/>
              </w:rPr>
              <w:t>(3)</w:t>
            </w:r>
          </w:p>
        </w:tc>
        <w:tc>
          <w:tcPr>
            <w:tcW w:w="3820" w:type="dxa"/>
            <w:vAlign w:val="bottom"/>
            <w:tcBorders>
              <w:bottom w:val="single" w:sz="8" w:color="F37F00"/>
            </w:tcBorders>
            <w:gridSpan w:val="2"/>
          </w:tcPr>
          <w:p>
            <w:pPr>
              <w:ind w:left="3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Vice Presidents and above</w:t>
            </w:r>
          </w:p>
        </w:tc>
      </w:tr>
      <w:tr>
        <w:trPr>
          <w:trHeight w:val="274"/>
        </w:trPr>
        <w:tc>
          <w:tcPr>
            <w:tcW w:w="5240" w:type="dxa"/>
            <w:vAlign w:val="bottom"/>
          </w:tcPr>
          <w:p>
            <w:pPr>
              <w:ind w:left="60"/>
              <w:spacing w:after="0"/>
              <w:rPr>
                <w:sz w:val="20"/>
                <w:szCs w:val="20"/>
                <w:color w:val="auto"/>
              </w:rPr>
            </w:pPr>
            <w:r>
              <w:rPr>
                <w:rFonts w:ascii="Arial" w:cs="Arial" w:eastAsia="Arial" w:hAnsi="Arial"/>
                <w:sz w:val="18"/>
                <w:szCs w:val="18"/>
                <w:color w:val="202124"/>
              </w:rPr>
              <w:t>401(k) Retirement Plan, with Match</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F37F00"/>
              </w:rPr>
              <w:t>●</w:t>
            </w:r>
          </w:p>
        </w:tc>
        <w:tc>
          <w:tcPr>
            <w:tcW w:w="3220" w:type="dxa"/>
            <w:vAlign w:val="bottom"/>
          </w:tcPr>
          <w:p>
            <w:pPr>
              <w:ind w:left="120"/>
              <w:spacing w:after="0"/>
              <w:rPr>
                <w:sz w:val="20"/>
                <w:szCs w:val="20"/>
                <w:color w:val="auto"/>
              </w:rPr>
            </w:pPr>
            <w:r>
              <w:rPr>
                <w:rFonts w:ascii="Arial" w:cs="Arial" w:eastAsia="Arial" w:hAnsi="Arial"/>
                <w:sz w:val="18"/>
                <w:szCs w:val="18"/>
                <w:color w:val="202124"/>
              </w:rPr>
              <w:t>All U.S. AutoZoners</w:t>
            </w:r>
          </w:p>
        </w:tc>
      </w:tr>
      <w:tr>
        <w:trPr>
          <w:trHeight w:val="131"/>
        </w:trPr>
        <w:tc>
          <w:tcPr>
            <w:tcW w:w="5240" w:type="dxa"/>
            <w:vAlign w:val="bottom"/>
            <w:tcBorders>
              <w:bottom w:val="single" w:sz="8" w:color="F37F00"/>
            </w:tcBorders>
          </w:tcPr>
          <w:p>
            <w:pPr>
              <w:spacing w:after="0"/>
              <w:rPr>
                <w:sz w:val="11"/>
                <w:szCs w:val="11"/>
                <w:color w:val="auto"/>
              </w:rPr>
            </w:pPr>
          </w:p>
        </w:tc>
        <w:tc>
          <w:tcPr>
            <w:tcW w:w="3820" w:type="dxa"/>
            <w:vAlign w:val="bottom"/>
            <w:tcBorders>
              <w:bottom w:val="single" w:sz="8" w:color="F37F00"/>
            </w:tcBorders>
            <w:gridSpan w:val="2"/>
          </w:tcPr>
          <w:p>
            <w:pPr>
              <w:spacing w:after="0"/>
              <w:rPr>
                <w:sz w:val="11"/>
                <w:szCs w:val="11"/>
                <w:color w:val="auto"/>
              </w:rPr>
            </w:pPr>
          </w:p>
        </w:tc>
      </w:tr>
      <w:tr>
        <w:trPr>
          <w:trHeight w:val="268"/>
        </w:trPr>
        <w:tc>
          <w:tcPr>
            <w:tcW w:w="5240" w:type="dxa"/>
            <w:vAlign w:val="bottom"/>
          </w:tcPr>
          <w:p>
            <w:pPr>
              <w:ind w:left="60"/>
              <w:spacing w:after="0"/>
              <w:rPr>
                <w:sz w:val="20"/>
                <w:szCs w:val="20"/>
                <w:color w:val="auto"/>
              </w:rPr>
            </w:pPr>
            <w:r>
              <w:rPr>
                <w:rFonts w:ascii="Arial" w:cs="Arial" w:eastAsia="Arial" w:hAnsi="Arial"/>
                <w:sz w:val="18"/>
                <w:szCs w:val="18"/>
                <w:color w:val="202124"/>
              </w:rPr>
              <w:t>Executive Deferred Compensation Plan (EDCP), with Match</w:t>
            </w:r>
          </w:p>
        </w:tc>
        <w:tc>
          <w:tcPr>
            <w:tcW w:w="3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Vice Presidents and above</w:t>
            </w:r>
          </w:p>
        </w:tc>
      </w:tr>
      <w:tr>
        <w:trPr>
          <w:trHeight w:val="131"/>
        </w:trPr>
        <w:tc>
          <w:tcPr>
            <w:tcW w:w="5240" w:type="dxa"/>
            <w:vAlign w:val="bottom"/>
            <w:tcBorders>
              <w:bottom w:val="single" w:sz="8" w:color="F37F00"/>
            </w:tcBorders>
          </w:tcPr>
          <w:p>
            <w:pPr>
              <w:spacing w:after="0"/>
              <w:rPr>
                <w:sz w:val="11"/>
                <w:szCs w:val="11"/>
                <w:color w:val="auto"/>
              </w:rPr>
            </w:pPr>
          </w:p>
        </w:tc>
        <w:tc>
          <w:tcPr>
            <w:tcW w:w="600" w:type="dxa"/>
            <w:vAlign w:val="bottom"/>
            <w:tcBorders>
              <w:bottom w:val="single" w:sz="8" w:color="F37F00"/>
            </w:tcBorders>
          </w:tcPr>
          <w:p>
            <w:pPr>
              <w:spacing w:after="0"/>
              <w:rPr>
                <w:sz w:val="11"/>
                <w:szCs w:val="11"/>
                <w:color w:val="auto"/>
              </w:rPr>
            </w:pPr>
          </w:p>
        </w:tc>
        <w:tc>
          <w:tcPr>
            <w:tcW w:w="3220" w:type="dxa"/>
            <w:vAlign w:val="bottom"/>
            <w:tcBorders>
              <w:bottom w:val="single" w:sz="8" w:color="F37F00"/>
            </w:tcBorders>
          </w:tcPr>
          <w:p>
            <w:pPr>
              <w:spacing w:after="0"/>
              <w:rPr>
                <w:sz w:val="11"/>
                <w:szCs w:val="11"/>
                <w:color w:val="auto"/>
              </w:rPr>
            </w:pPr>
          </w:p>
        </w:tc>
      </w:tr>
      <w:tr>
        <w:trPr>
          <w:trHeight w:val="267"/>
        </w:trPr>
        <w:tc>
          <w:tcPr>
            <w:tcW w:w="5240" w:type="dxa"/>
            <w:vAlign w:val="bottom"/>
          </w:tcPr>
          <w:p>
            <w:pPr>
              <w:ind w:left="60"/>
              <w:spacing w:after="0"/>
              <w:rPr>
                <w:sz w:val="20"/>
                <w:szCs w:val="20"/>
                <w:color w:val="auto"/>
              </w:rPr>
            </w:pPr>
            <w:r>
              <w:rPr>
                <w:rFonts w:ascii="Arial" w:cs="Arial" w:eastAsia="Arial" w:hAnsi="Arial"/>
                <w:sz w:val="18"/>
                <w:szCs w:val="18"/>
                <w:color w:val="202124"/>
              </w:rPr>
              <w:t>Salary Continuation Death Benefit</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F37F00"/>
              </w:rPr>
              <w:t>●</w:t>
            </w:r>
          </w:p>
        </w:tc>
        <w:tc>
          <w:tcPr>
            <w:tcW w:w="3220" w:type="dxa"/>
            <w:vAlign w:val="bottom"/>
          </w:tcPr>
          <w:p>
            <w:pPr>
              <w:ind w:left="120"/>
              <w:spacing w:after="0"/>
              <w:rPr>
                <w:sz w:val="20"/>
                <w:szCs w:val="20"/>
                <w:color w:val="auto"/>
              </w:rPr>
            </w:pPr>
            <w:r>
              <w:rPr>
                <w:rFonts w:ascii="Arial" w:cs="Arial" w:eastAsia="Arial" w:hAnsi="Arial"/>
                <w:sz w:val="18"/>
                <w:szCs w:val="18"/>
                <w:color w:val="202124"/>
              </w:rPr>
              <w:t>All U.S. AutoZoners</w:t>
            </w:r>
          </w:p>
        </w:tc>
      </w:tr>
      <w:tr>
        <w:trPr>
          <w:trHeight w:val="131"/>
        </w:trPr>
        <w:tc>
          <w:tcPr>
            <w:tcW w:w="5240" w:type="dxa"/>
            <w:vAlign w:val="bottom"/>
            <w:tcBorders>
              <w:bottom w:val="single" w:sz="8" w:color="F37F00"/>
            </w:tcBorders>
          </w:tcPr>
          <w:p>
            <w:pPr>
              <w:spacing w:after="0"/>
              <w:rPr>
                <w:sz w:val="11"/>
                <w:szCs w:val="11"/>
                <w:color w:val="auto"/>
              </w:rPr>
            </w:pPr>
          </w:p>
        </w:tc>
        <w:tc>
          <w:tcPr>
            <w:tcW w:w="3820" w:type="dxa"/>
            <w:vAlign w:val="bottom"/>
            <w:tcBorders>
              <w:bottom w:val="single" w:sz="8" w:color="F37F00"/>
            </w:tcBorders>
            <w:gridSpan w:val="2"/>
          </w:tcPr>
          <w:p>
            <w:pPr>
              <w:spacing w:after="0"/>
              <w:rPr>
                <w:sz w:val="11"/>
                <w:szCs w:val="11"/>
                <w:color w:val="auto"/>
              </w:rPr>
            </w:pPr>
          </w:p>
        </w:tc>
      </w:tr>
      <w:tr>
        <w:trPr>
          <w:trHeight w:val="231"/>
        </w:trPr>
        <w:tc>
          <w:tcPr>
            <w:tcW w:w="5240" w:type="dxa"/>
            <w:vAlign w:val="bottom"/>
          </w:tcPr>
          <w:p>
            <w:pPr>
              <w:ind w:left="60"/>
              <w:spacing w:after="0"/>
              <w:rPr>
                <w:sz w:val="20"/>
                <w:szCs w:val="20"/>
                <w:color w:val="auto"/>
              </w:rPr>
            </w:pPr>
            <w:r>
              <w:rPr>
                <w:rFonts w:ascii="Arial" w:cs="Arial" w:eastAsia="Arial" w:hAnsi="Arial"/>
                <w:sz w:val="18"/>
                <w:szCs w:val="18"/>
                <w:color w:val="202124"/>
              </w:rPr>
              <w:t>Matching Charitable Gift Program</w:t>
            </w:r>
          </w:p>
        </w:tc>
        <w:tc>
          <w:tcPr>
            <w:tcW w:w="3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All U.S. AutoZoners; Vice Presidents</w:t>
            </w:r>
          </w:p>
        </w:tc>
      </w:tr>
      <w:tr>
        <w:trPr>
          <w:trHeight w:val="203"/>
        </w:trPr>
        <w:tc>
          <w:tcPr>
            <w:tcW w:w="5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ind w:left="120"/>
              <w:spacing w:after="0" w:line="202" w:lineRule="exact"/>
              <w:rPr>
                <w:sz w:val="20"/>
                <w:szCs w:val="20"/>
                <w:color w:val="auto"/>
              </w:rPr>
            </w:pPr>
            <w:r>
              <w:rPr>
                <w:rFonts w:ascii="Arial" w:cs="Arial" w:eastAsia="Arial" w:hAnsi="Arial"/>
                <w:sz w:val="18"/>
                <w:szCs w:val="18"/>
                <w:color w:val="202124"/>
              </w:rPr>
              <w:t>and above eligible to receive a larger</w:t>
            </w:r>
          </w:p>
        </w:tc>
      </w:tr>
      <w:tr>
        <w:trPr>
          <w:trHeight w:val="239"/>
        </w:trPr>
        <w:tc>
          <w:tcPr>
            <w:tcW w:w="5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202124"/>
              </w:rPr>
              <w:t>match depending on level</w:t>
            </w:r>
          </w:p>
        </w:tc>
      </w:tr>
      <w:tr>
        <w:trPr>
          <w:trHeight w:val="158"/>
        </w:trPr>
        <w:tc>
          <w:tcPr>
            <w:tcW w:w="5240" w:type="dxa"/>
            <w:vAlign w:val="bottom"/>
            <w:tcBorders>
              <w:bottom w:val="single" w:sz="8" w:color="F37F00"/>
            </w:tcBorders>
          </w:tcPr>
          <w:p>
            <w:pPr>
              <w:spacing w:after="0"/>
              <w:rPr>
                <w:sz w:val="13"/>
                <w:szCs w:val="13"/>
                <w:color w:val="auto"/>
              </w:rPr>
            </w:pPr>
          </w:p>
        </w:tc>
        <w:tc>
          <w:tcPr>
            <w:tcW w:w="600" w:type="dxa"/>
            <w:vAlign w:val="bottom"/>
            <w:tcBorders>
              <w:bottom w:val="single" w:sz="8" w:color="F37F00"/>
            </w:tcBorders>
          </w:tcPr>
          <w:p>
            <w:pPr>
              <w:spacing w:after="0"/>
              <w:rPr>
                <w:sz w:val="13"/>
                <w:szCs w:val="13"/>
                <w:color w:val="auto"/>
              </w:rPr>
            </w:pPr>
          </w:p>
        </w:tc>
        <w:tc>
          <w:tcPr>
            <w:tcW w:w="3220" w:type="dxa"/>
            <w:vAlign w:val="bottom"/>
            <w:tcBorders>
              <w:bottom w:val="single" w:sz="8" w:color="F37F00"/>
            </w:tcBorders>
          </w:tcPr>
          <w:p>
            <w:pPr>
              <w:spacing w:after="0"/>
              <w:rPr>
                <w:sz w:val="13"/>
                <w:szCs w:val="13"/>
                <w:color w:val="auto"/>
              </w:rPr>
            </w:pPr>
          </w:p>
        </w:tc>
      </w:tr>
      <w:tr>
        <w:trPr>
          <w:trHeight w:val="268"/>
        </w:trPr>
        <w:tc>
          <w:tcPr>
            <w:tcW w:w="5240" w:type="dxa"/>
            <w:vAlign w:val="bottom"/>
          </w:tcPr>
          <w:p>
            <w:pPr>
              <w:ind w:left="60"/>
              <w:spacing w:after="0"/>
              <w:rPr>
                <w:sz w:val="20"/>
                <w:szCs w:val="20"/>
                <w:color w:val="auto"/>
              </w:rPr>
            </w:pPr>
            <w:r>
              <w:rPr>
                <w:rFonts w:ascii="Arial" w:cs="Arial" w:eastAsia="Arial" w:hAnsi="Arial"/>
                <w:sz w:val="18"/>
                <w:szCs w:val="18"/>
                <w:color w:val="202124"/>
              </w:rPr>
              <w:t>Medical, Dental and Vision Plans</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F37F00"/>
              </w:rPr>
              <w:t>●</w:t>
            </w:r>
          </w:p>
        </w:tc>
        <w:tc>
          <w:tcPr>
            <w:tcW w:w="3220" w:type="dxa"/>
            <w:vAlign w:val="bottom"/>
          </w:tcPr>
          <w:p>
            <w:pPr>
              <w:ind w:left="120"/>
              <w:spacing w:after="0"/>
              <w:rPr>
                <w:sz w:val="20"/>
                <w:szCs w:val="20"/>
                <w:color w:val="auto"/>
              </w:rPr>
            </w:pPr>
            <w:r>
              <w:rPr>
                <w:rFonts w:ascii="Arial" w:cs="Arial" w:eastAsia="Arial" w:hAnsi="Arial"/>
                <w:sz w:val="18"/>
                <w:szCs w:val="18"/>
                <w:color w:val="202124"/>
              </w:rPr>
              <w:t>All U.S. AutoZoners</w:t>
            </w:r>
          </w:p>
        </w:tc>
      </w:tr>
      <w:tr>
        <w:trPr>
          <w:trHeight w:val="131"/>
        </w:trPr>
        <w:tc>
          <w:tcPr>
            <w:tcW w:w="5240" w:type="dxa"/>
            <w:vAlign w:val="bottom"/>
            <w:tcBorders>
              <w:bottom w:val="single" w:sz="8" w:color="F37F00"/>
            </w:tcBorders>
          </w:tcPr>
          <w:p>
            <w:pPr>
              <w:spacing w:after="0"/>
              <w:rPr>
                <w:sz w:val="11"/>
                <w:szCs w:val="11"/>
                <w:color w:val="auto"/>
              </w:rPr>
            </w:pPr>
          </w:p>
        </w:tc>
        <w:tc>
          <w:tcPr>
            <w:tcW w:w="600" w:type="dxa"/>
            <w:vAlign w:val="bottom"/>
            <w:tcBorders>
              <w:bottom w:val="single" w:sz="8" w:color="F37F00"/>
            </w:tcBorders>
          </w:tcPr>
          <w:p>
            <w:pPr>
              <w:spacing w:after="0"/>
              <w:rPr>
                <w:sz w:val="11"/>
                <w:szCs w:val="11"/>
                <w:color w:val="auto"/>
              </w:rPr>
            </w:pPr>
          </w:p>
        </w:tc>
        <w:tc>
          <w:tcPr>
            <w:tcW w:w="3220" w:type="dxa"/>
            <w:vAlign w:val="bottom"/>
            <w:tcBorders>
              <w:bottom w:val="single" w:sz="8" w:color="F37F00"/>
            </w:tcBorders>
          </w:tcPr>
          <w:p>
            <w:pPr>
              <w:spacing w:after="0"/>
              <w:rPr>
                <w:sz w:val="11"/>
                <w:szCs w:val="11"/>
                <w:color w:val="auto"/>
              </w:rPr>
            </w:pPr>
          </w:p>
        </w:tc>
      </w:tr>
      <w:tr>
        <w:trPr>
          <w:trHeight w:val="268"/>
        </w:trPr>
        <w:tc>
          <w:tcPr>
            <w:tcW w:w="5240" w:type="dxa"/>
            <w:vAlign w:val="bottom"/>
          </w:tcPr>
          <w:p>
            <w:pPr>
              <w:ind w:left="60"/>
              <w:spacing w:after="0"/>
              <w:rPr>
                <w:sz w:val="20"/>
                <w:szCs w:val="20"/>
                <w:color w:val="auto"/>
              </w:rPr>
            </w:pPr>
            <w:r>
              <w:rPr>
                <w:rFonts w:ascii="Arial" w:cs="Arial" w:eastAsia="Arial" w:hAnsi="Arial"/>
                <w:sz w:val="18"/>
                <w:szCs w:val="18"/>
                <w:color w:val="202124"/>
              </w:rPr>
              <w:t>Executive Physical Program</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F37F00"/>
              </w:rPr>
              <w:t>●</w:t>
            </w:r>
          </w:p>
        </w:tc>
        <w:tc>
          <w:tcPr>
            <w:tcW w:w="3220" w:type="dxa"/>
            <w:vAlign w:val="bottom"/>
          </w:tcPr>
          <w:p>
            <w:pPr>
              <w:ind w:left="120"/>
              <w:spacing w:after="0"/>
              <w:rPr>
                <w:sz w:val="20"/>
                <w:szCs w:val="20"/>
                <w:color w:val="auto"/>
              </w:rPr>
            </w:pPr>
            <w:r>
              <w:rPr>
                <w:rFonts w:ascii="Arial" w:cs="Arial" w:eastAsia="Arial" w:hAnsi="Arial"/>
                <w:sz w:val="18"/>
                <w:szCs w:val="18"/>
                <w:color w:val="202124"/>
              </w:rPr>
              <w:t>Executive Officers</w:t>
            </w:r>
          </w:p>
        </w:tc>
      </w:tr>
      <w:tr>
        <w:trPr>
          <w:trHeight w:val="131"/>
        </w:trPr>
        <w:tc>
          <w:tcPr>
            <w:tcW w:w="5240" w:type="dxa"/>
            <w:vAlign w:val="bottom"/>
            <w:tcBorders>
              <w:bottom w:val="single" w:sz="8" w:color="F37F00"/>
            </w:tcBorders>
          </w:tcPr>
          <w:p>
            <w:pPr>
              <w:spacing w:after="0"/>
              <w:rPr>
                <w:sz w:val="11"/>
                <w:szCs w:val="11"/>
                <w:color w:val="auto"/>
              </w:rPr>
            </w:pPr>
          </w:p>
        </w:tc>
        <w:tc>
          <w:tcPr>
            <w:tcW w:w="600" w:type="dxa"/>
            <w:vAlign w:val="bottom"/>
            <w:tcBorders>
              <w:bottom w:val="single" w:sz="8" w:color="F37F00"/>
            </w:tcBorders>
          </w:tcPr>
          <w:p>
            <w:pPr>
              <w:spacing w:after="0"/>
              <w:rPr>
                <w:sz w:val="11"/>
                <w:szCs w:val="11"/>
                <w:color w:val="auto"/>
              </w:rPr>
            </w:pPr>
          </w:p>
        </w:tc>
        <w:tc>
          <w:tcPr>
            <w:tcW w:w="3220" w:type="dxa"/>
            <w:vAlign w:val="bottom"/>
            <w:tcBorders>
              <w:bottom w:val="single" w:sz="8" w:color="F37F00"/>
            </w:tcBorders>
          </w:tcPr>
          <w:p>
            <w:pPr>
              <w:spacing w:after="0"/>
              <w:rPr>
                <w:sz w:val="11"/>
                <w:szCs w:val="11"/>
                <w:color w:val="auto"/>
              </w:rPr>
            </w:pPr>
          </w:p>
        </w:tc>
      </w:tr>
      <w:tr>
        <w:trPr>
          <w:trHeight w:val="267"/>
        </w:trPr>
        <w:tc>
          <w:tcPr>
            <w:tcW w:w="5240" w:type="dxa"/>
            <w:vAlign w:val="bottom"/>
          </w:tcPr>
          <w:p>
            <w:pPr>
              <w:ind w:left="60"/>
              <w:spacing w:after="0"/>
              <w:rPr>
                <w:sz w:val="20"/>
                <w:szCs w:val="20"/>
                <w:color w:val="auto"/>
              </w:rPr>
            </w:pPr>
            <w:r>
              <w:rPr>
                <w:rFonts w:ascii="Arial" w:cs="Arial" w:eastAsia="Arial" w:hAnsi="Arial"/>
                <w:sz w:val="18"/>
                <w:szCs w:val="18"/>
                <w:color w:val="202124"/>
              </w:rPr>
              <w:t>Company-Paid Life Insurance Plans</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F37F00"/>
              </w:rPr>
              <w:t>●</w:t>
            </w:r>
          </w:p>
        </w:tc>
        <w:tc>
          <w:tcPr>
            <w:tcW w:w="3220" w:type="dxa"/>
            <w:vAlign w:val="bottom"/>
          </w:tcPr>
          <w:p>
            <w:pPr>
              <w:ind w:left="120"/>
              <w:spacing w:after="0"/>
              <w:rPr>
                <w:sz w:val="20"/>
                <w:szCs w:val="20"/>
                <w:color w:val="auto"/>
              </w:rPr>
            </w:pPr>
            <w:r>
              <w:rPr>
                <w:rFonts w:ascii="Arial" w:cs="Arial" w:eastAsia="Arial" w:hAnsi="Arial"/>
                <w:sz w:val="18"/>
                <w:szCs w:val="18"/>
                <w:color w:val="202124"/>
              </w:rPr>
              <w:t>All U.S. AutoZoners</w:t>
            </w:r>
          </w:p>
        </w:tc>
      </w:tr>
      <w:tr>
        <w:trPr>
          <w:trHeight w:val="131"/>
        </w:trPr>
        <w:tc>
          <w:tcPr>
            <w:tcW w:w="5240" w:type="dxa"/>
            <w:vAlign w:val="bottom"/>
            <w:tcBorders>
              <w:bottom w:val="single" w:sz="8" w:color="F37F00"/>
            </w:tcBorders>
          </w:tcPr>
          <w:p>
            <w:pPr>
              <w:spacing w:after="0"/>
              <w:rPr>
                <w:sz w:val="11"/>
                <w:szCs w:val="11"/>
                <w:color w:val="auto"/>
              </w:rPr>
            </w:pPr>
          </w:p>
        </w:tc>
        <w:tc>
          <w:tcPr>
            <w:tcW w:w="3820" w:type="dxa"/>
            <w:vAlign w:val="bottom"/>
            <w:tcBorders>
              <w:bottom w:val="single" w:sz="8" w:color="F37F00"/>
            </w:tcBorders>
            <w:gridSpan w:val="2"/>
          </w:tcPr>
          <w:p>
            <w:pPr>
              <w:spacing w:after="0"/>
              <w:rPr>
                <w:sz w:val="11"/>
                <w:szCs w:val="11"/>
                <w:color w:val="auto"/>
              </w:rPr>
            </w:pPr>
          </w:p>
        </w:tc>
      </w:tr>
      <w:tr>
        <w:trPr>
          <w:trHeight w:val="268"/>
        </w:trPr>
        <w:tc>
          <w:tcPr>
            <w:tcW w:w="5240" w:type="dxa"/>
            <w:vAlign w:val="bottom"/>
          </w:tcPr>
          <w:p>
            <w:pPr>
              <w:ind w:left="60"/>
              <w:spacing w:after="0"/>
              <w:rPr>
                <w:sz w:val="20"/>
                <w:szCs w:val="20"/>
                <w:color w:val="auto"/>
              </w:rPr>
            </w:pPr>
            <w:r>
              <w:rPr>
                <w:rFonts w:ascii="Arial" w:cs="Arial" w:eastAsia="Arial" w:hAnsi="Arial"/>
                <w:sz w:val="18"/>
                <w:szCs w:val="18"/>
                <w:color w:val="202124"/>
              </w:rPr>
              <w:t>Company-Paid Disability Insurance Plans</w:t>
            </w:r>
          </w:p>
        </w:tc>
        <w:tc>
          <w:tcPr>
            <w:tcW w:w="3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F37F00"/>
              </w:rPr>
              <w:t xml:space="preserve">●   </w:t>
            </w:r>
            <w:r>
              <w:rPr>
                <w:rFonts w:ascii="Arial" w:cs="Arial" w:eastAsia="Arial" w:hAnsi="Arial"/>
                <w:sz w:val="18"/>
                <w:szCs w:val="18"/>
                <w:color w:val="202124"/>
              </w:rPr>
              <w:t>Vice Presidents and above</w:t>
            </w:r>
          </w:p>
        </w:tc>
      </w:tr>
    </w:tbl>
    <w:p>
      <w:pPr>
        <w:spacing w:after="0" w:line="200" w:lineRule="exact"/>
        <w:rPr>
          <w:sz w:val="20"/>
          <w:szCs w:val="20"/>
          <w:color w:val="auto"/>
        </w:rPr>
      </w:pPr>
    </w:p>
    <w:p>
      <w:pPr>
        <w:spacing w:after="0" w:line="295" w:lineRule="exact"/>
        <w:rPr>
          <w:sz w:val="20"/>
          <w:szCs w:val="20"/>
          <w:color w:val="auto"/>
        </w:rPr>
      </w:pPr>
    </w:p>
    <w:p>
      <w:pPr>
        <w:ind w:left="1320" w:right="60" w:hanging="325"/>
        <w:spacing w:after="0" w:line="205" w:lineRule="auto"/>
        <w:tabs>
          <w:tab w:leader="none" w:pos="1320" w:val="left"/>
        </w:tabs>
        <w:numPr>
          <w:ilvl w:val="0"/>
          <w:numId w:val="88"/>
        </w:numPr>
        <w:rPr>
          <w:rFonts w:ascii="Arial" w:cs="Arial" w:eastAsia="Arial" w:hAnsi="Arial"/>
          <w:sz w:val="24"/>
          <w:szCs w:val="24"/>
          <w:color w:val="202124"/>
          <w:vertAlign w:val="superscript"/>
        </w:rPr>
      </w:pPr>
      <w:r>
        <w:rPr>
          <w:rFonts w:ascii="Arial" w:cs="Arial" w:eastAsia="Arial" w:hAnsi="Arial"/>
          <w:sz w:val="16"/>
          <w:szCs w:val="16"/>
          <w:color w:val="202124"/>
        </w:rPr>
        <w:t>Benefits listed as available to all U.S AutoZoners are excluded from “All Other Compensation” in the Summary Compensation Table as permitted by applicable disclosure rules.</w:t>
      </w:r>
    </w:p>
    <w:p>
      <w:pPr>
        <w:spacing w:after="0" w:line="1" w:lineRule="exact"/>
        <w:rPr>
          <w:rFonts w:ascii="Arial" w:cs="Arial" w:eastAsia="Arial" w:hAnsi="Arial"/>
          <w:sz w:val="24"/>
          <w:szCs w:val="24"/>
          <w:color w:val="202124"/>
          <w:vertAlign w:val="superscript"/>
        </w:rPr>
      </w:pPr>
    </w:p>
    <w:p>
      <w:pPr>
        <w:ind w:left="1320" w:right="140" w:hanging="325"/>
        <w:spacing w:after="0" w:line="183" w:lineRule="auto"/>
        <w:tabs>
          <w:tab w:leader="none" w:pos="1320" w:val="left"/>
        </w:tabs>
        <w:numPr>
          <w:ilvl w:val="0"/>
          <w:numId w:val="88"/>
        </w:numPr>
        <w:rPr>
          <w:rFonts w:ascii="Arial" w:cs="Arial" w:eastAsia="Arial" w:hAnsi="Arial"/>
          <w:sz w:val="27"/>
          <w:szCs w:val="27"/>
          <w:color w:val="202124"/>
          <w:vertAlign w:val="superscript"/>
        </w:rPr>
      </w:pPr>
      <w:r>
        <w:rPr>
          <w:rFonts w:ascii="Arial" w:cs="Arial" w:eastAsia="Arial" w:hAnsi="Arial"/>
          <w:sz w:val="16"/>
          <w:szCs w:val="16"/>
          <w:color w:val="202124"/>
        </w:rPr>
        <w:t>This table is a summary only and does not describe specific benefit eligibility rules, such as minimum service, among others. All U.S. AutoZoners refers to full-time, salaried employees.</w:t>
      </w:r>
    </w:p>
    <w:p>
      <w:pPr>
        <w:ind w:left="1320" w:hanging="325"/>
        <w:spacing w:after="0" w:line="180" w:lineRule="auto"/>
        <w:tabs>
          <w:tab w:leader="none" w:pos="1320" w:val="left"/>
        </w:tabs>
        <w:numPr>
          <w:ilvl w:val="0"/>
          <w:numId w:val="88"/>
        </w:numPr>
        <w:rPr>
          <w:rFonts w:ascii="Arial" w:cs="Arial" w:eastAsia="Arial" w:hAnsi="Arial"/>
          <w:sz w:val="23"/>
          <w:szCs w:val="23"/>
          <w:color w:val="202124"/>
          <w:vertAlign w:val="superscript"/>
        </w:rPr>
      </w:pPr>
      <w:r>
        <w:rPr>
          <w:rFonts w:ascii="Arial" w:cs="Arial" w:eastAsia="Arial" w:hAnsi="Arial"/>
          <w:sz w:val="14"/>
          <w:szCs w:val="14"/>
          <w:color w:val="202124"/>
        </w:rPr>
        <w:t>Contributions under the Plan have been suspended pending shareholder approval of a new XSPP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59</w:t>
            </w:r>
          </w:p>
        </w:tc>
      </w:tr>
    </w:tbl>
    <w:p>
      <w:pPr>
        <w:sectPr>
          <w:pgSz w:w="11900" w:h="16838" w:orient="portrait"/>
          <w:cols w:equalWidth="0" w:num="1">
            <w:col w:w="10360"/>
          </w:cols>
          <w:pgMar w:left="440" w:top="106" w:right="1099" w:bottom="1440" w:gutter="0" w:footer="0" w:header="0"/>
        </w:sectPr>
      </w:pPr>
    </w:p>
    <w:bookmarkStart w:id="62" w:name="page63"/>
    <w:bookmarkEnd w:id="6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Stock Purchase Plans</w:t>
      </w:r>
    </w:p>
    <w:p>
      <w:pPr>
        <w:spacing w:after="0" w:line="284" w:lineRule="exact"/>
        <w:rPr>
          <w:sz w:val="20"/>
          <w:szCs w:val="20"/>
          <w:color w:val="auto"/>
        </w:rPr>
      </w:pPr>
    </w:p>
    <w:tbl>
      <w:tblPr>
        <w:tblLayout w:type="fixed"/>
        <w:tblInd w:w="980" w:type="dxa"/>
        <w:tblCellMar>
          <w:top w:w="0" w:type="dxa"/>
          <w:left w:w="0" w:type="dxa"/>
          <w:bottom w:w="0" w:type="dxa"/>
          <w:right w:w="0" w:type="dxa"/>
        </w:tblCellMar>
      </w:tblPr>
      <w:tr>
        <w:trPr>
          <w:trHeight w:val="259"/>
        </w:trPr>
        <w:tc>
          <w:tcPr>
            <w:tcW w:w="1660" w:type="dxa"/>
            <w:vAlign w:val="bottom"/>
          </w:tcPr>
          <w:p>
            <w:pPr>
              <w:spacing w:after="0"/>
              <w:rPr>
                <w:sz w:val="22"/>
                <w:szCs w:val="22"/>
                <w:color w:val="auto"/>
              </w:rPr>
            </w:pPr>
          </w:p>
        </w:tc>
        <w:tc>
          <w:tcPr>
            <w:tcW w:w="3660" w:type="dxa"/>
            <w:vAlign w:val="bottom"/>
          </w:tcPr>
          <w:p>
            <w:pPr>
              <w:ind w:left="1720"/>
              <w:spacing w:after="0"/>
              <w:rPr>
                <w:sz w:val="20"/>
                <w:szCs w:val="20"/>
                <w:color w:val="auto"/>
              </w:rPr>
            </w:pPr>
            <w:r>
              <w:rPr>
                <w:rFonts w:ascii="Arial" w:cs="Arial" w:eastAsia="Arial" w:hAnsi="Arial"/>
                <w:sz w:val="19"/>
                <w:szCs w:val="19"/>
                <w:b w:val="1"/>
                <w:bCs w:val="1"/>
                <w:color w:val="F37F00"/>
              </w:rPr>
              <w:t>ESPP</w:t>
            </w:r>
          </w:p>
        </w:tc>
        <w:tc>
          <w:tcPr>
            <w:tcW w:w="3760" w:type="dxa"/>
            <w:vAlign w:val="bottom"/>
          </w:tcPr>
          <w:p>
            <w:pPr>
              <w:ind w:left="1680"/>
              <w:spacing w:after="0"/>
              <w:rPr>
                <w:sz w:val="20"/>
                <w:szCs w:val="20"/>
                <w:color w:val="auto"/>
              </w:rPr>
            </w:pPr>
            <w:r>
              <w:rPr>
                <w:rFonts w:ascii="Arial" w:cs="Arial" w:eastAsia="Arial" w:hAnsi="Arial"/>
                <w:sz w:val="19"/>
                <w:szCs w:val="19"/>
                <w:b w:val="1"/>
                <w:bCs w:val="1"/>
                <w:color w:val="F37F00"/>
              </w:rPr>
              <w:t>XSPP</w:t>
            </w:r>
          </w:p>
        </w:tc>
      </w:tr>
      <w:tr>
        <w:trPr>
          <w:trHeight w:val="65"/>
        </w:trPr>
        <w:tc>
          <w:tcPr>
            <w:tcW w:w="1660" w:type="dxa"/>
            <w:vAlign w:val="bottom"/>
            <w:tcBorders>
              <w:bottom w:val="single" w:sz="8" w:color="F37F00"/>
            </w:tcBorders>
          </w:tcPr>
          <w:p>
            <w:pPr>
              <w:spacing w:after="0"/>
              <w:rPr>
                <w:sz w:val="5"/>
                <w:szCs w:val="5"/>
                <w:color w:val="auto"/>
              </w:rPr>
            </w:pPr>
          </w:p>
        </w:tc>
        <w:tc>
          <w:tcPr>
            <w:tcW w:w="3660" w:type="dxa"/>
            <w:vAlign w:val="bottom"/>
            <w:tcBorders>
              <w:bottom w:val="single" w:sz="8" w:color="F37F00"/>
            </w:tcBorders>
          </w:tcPr>
          <w:p>
            <w:pPr>
              <w:spacing w:after="0"/>
              <w:rPr>
                <w:sz w:val="5"/>
                <w:szCs w:val="5"/>
                <w:color w:val="auto"/>
              </w:rPr>
            </w:pPr>
          </w:p>
        </w:tc>
        <w:tc>
          <w:tcPr>
            <w:tcW w:w="3760" w:type="dxa"/>
            <w:vAlign w:val="bottom"/>
            <w:tcBorders>
              <w:bottom w:val="single" w:sz="8" w:color="F37F00"/>
            </w:tcBorders>
          </w:tcPr>
          <w:p>
            <w:pPr>
              <w:spacing w:after="0"/>
              <w:rPr>
                <w:sz w:val="5"/>
                <w:szCs w:val="5"/>
                <w:color w:val="auto"/>
              </w:rPr>
            </w:pPr>
          </w:p>
        </w:tc>
      </w:tr>
      <w:tr>
        <w:trPr>
          <w:trHeight w:val="236"/>
        </w:trPr>
        <w:tc>
          <w:tcPr>
            <w:tcW w:w="1660" w:type="dxa"/>
            <w:vAlign w:val="bottom"/>
          </w:tcPr>
          <w:p>
            <w:pPr>
              <w:ind w:left="20"/>
              <w:spacing w:after="0"/>
              <w:rPr>
                <w:sz w:val="20"/>
                <w:szCs w:val="20"/>
                <w:color w:val="auto"/>
              </w:rPr>
            </w:pPr>
            <w:r>
              <w:rPr>
                <w:rFonts w:ascii="Arial" w:cs="Arial" w:eastAsia="Arial" w:hAnsi="Arial"/>
                <w:sz w:val="18"/>
                <w:szCs w:val="18"/>
                <w:b w:val="1"/>
                <w:bCs w:val="1"/>
                <w:color w:val="202124"/>
              </w:rPr>
              <w:t>Overview</w:t>
            </w:r>
          </w:p>
        </w:tc>
        <w:tc>
          <w:tcPr>
            <w:tcW w:w="3660" w:type="dxa"/>
            <w:vAlign w:val="bottom"/>
          </w:tcPr>
          <w:p>
            <w:pPr>
              <w:ind w:left="180"/>
              <w:spacing w:after="0"/>
              <w:rPr>
                <w:sz w:val="20"/>
                <w:szCs w:val="20"/>
                <w:color w:val="auto"/>
              </w:rPr>
            </w:pPr>
            <w:r>
              <w:rPr>
                <w:rFonts w:ascii="Arial" w:cs="Arial" w:eastAsia="Arial" w:hAnsi="Arial"/>
                <w:sz w:val="16"/>
                <w:szCs w:val="16"/>
                <w:color w:val="202124"/>
              </w:rPr>
              <w:t>Shares purchased at a discount</w:t>
            </w:r>
          </w:p>
        </w:tc>
        <w:tc>
          <w:tcPr>
            <w:tcW w:w="3760" w:type="dxa"/>
            <w:vAlign w:val="bottom"/>
          </w:tcPr>
          <w:p>
            <w:pPr>
              <w:ind w:left="120"/>
              <w:spacing w:after="0"/>
              <w:rPr>
                <w:sz w:val="20"/>
                <w:szCs w:val="20"/>
                <w:color w:val="auto"/>
              </w:rPr>
            </w:pPr>
            <w:r>
              <w:rPr>
                <w:rFonts w:ascii="Arial" w:cs="Arial" w:eastAsia="Arial" w:hAnsi="Arial"/>
                <w:sz w:val="16"/>
                <w:szCs w:val="16"/>
                <w:color w:val="202124"/>
              </w:rPr>
              <w:t>Shares purchased at Fair Market Value (“FMV”)</w:t>
            </w:r>
          </w:p>
        </w:tc>
      </w:tr>
      <w:tr>
        <w:trPr>
          <w:trHeight w:val="189"/>
        </w:trPr>
        <w:tc>
          <w:tcPr>
            <w:tcW w:w="1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202124"/>
              </w:rPr>
              <w:t>with a Company-provided “match” of shares (the</w:t>
            </w:r>
          </w:p>
        </w:tc>
      </w:tr>
      <w:tr>
        <w:trPr>
          <w:trHeight w:val="215"/>
        </w:trPr>
        <w:tc>
          <w:tcPr>
            <w:tcW w:w="1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202124"/>
              </w:rPr>
              <w:t>“Matched Shares”)</w:t>
            </w:r>
          </w:p>
        </w:tc>
      </w:tr>
      <w:tr>
        <w:trPr>
          <w:trHeight w:val="151"/>
        </w:trPr>
        <w:tc>
          <w:tcPr>
            <w:tcW w:w="1660" w:type="dxa"/>
            <w:vAlign w:val="bottom"/>
            <w:tcBorders>
              <w:bottom w:val="single" w:sz="8" w:color="F37F00"/>
            </w:tcBorders>
          </w:tcPr>
          <w:p>
            <w:pPr>
              <w:spacing w:after="0"/>
              <w:rPr>
                <w:sz w:val="13"/>
                <w:szCs w:val="13"/>
                <w:color w:val="auto"/>
              </w:rPr>
            </w:pPr>
          </w:p>
        </w:tc>
        <w:tc>
          <w:tcPr>
            <w:tcW w:w="3660" w:type="dxa"/>
            <w:vAlign w:val="bottom"/>
            <w:tcBorders>
              <w:bottom w:val="single" w:sz="8" w:color="F37F00"/>
            </w:tcBorders>
          </w:tcPr>
          <w:p>
            <w:pPr>
              <w:spacing w:after="0"/>
              <w:rPr>
                <w:sz w:val="13"/>
                <w:szCs w:val="13"/>
                <w:color w:val="auto"/>
              </w:rPr>
            </w:pPr>
          </w:p>
        </w:tc>
        <w:tc>
          <w:tcPr>
            <w:tcW w:w="3760" w:type="dxa"/>
            <w:vAlign w:val="bottom"/>
            <w:tcBorders>
              <w:bottom w:val="single" w:sz="8" w:color="F37F00"/>
            </w:tcBorders>
          </w:tcPr>
          <w:p>
            <w:pPr>
              <w:spacing w:after="0"/>
              <w:rPr>
                <w:sz w:val="13"/>
                <w:szCs w:val="13"/>
                <w:color w:val="auto"/>
              </w:rPr>
            </w:pPr>
          </w:p>
        </w:tc>
      </w:tr>
      <w:tr>
        <w:trPr>
          <w:trHeight w:val="236"/>
        </w:trPr>
        <w:tc>
          <w:tcPr>
            <w:tcW w:w="1660" w:type="dxa"/>
            <w:vAlign w:val="bottom"/>
          </w:tcPr>
          <w:p>
            <w:pPr>
              <w:ind w:left="20"/>
              <w:spacing w:after="0"/>
              <w:rPr>
                <w:sz w:val="20"/>
                <w:szCs w:val="20"/>
                <w:color w:val="auto"/>
              </w:rPr>
            </w:pPr>
            <w:r>
              <w:rPr>
                <w:rFonts w:ascii="Arial" w:cs="Arial" w:eastAsia="Arial" w:hAnsi="Arial"/>
                <w:sz w:val="18"/>
                <w:szCs w:val="18"/>
                <w:b w:val="1"/>
                <w:bCs w:val="1"/>
                <w:color w:val="202124"/>
              </w:rPr>
              <w:t>Eligibility</w:t>
            </w:r>
          </w:p>
        </w:tc>
        <w:tc>
          <w:tcPr>
            <w:tcW w:w="3660" w:type="dxa"/>
            <w:vAlign w:val="bottom"/>
          </w:tcPr>
          <w:p>
            <w:pPr>
              <w:ind w:left="180"/>
              <w:spacing w:after="0"/>
              <w:rPr>
                <w:sz w:val="20"/>
                <w:szCs w:val="20"/>
                <w:color w:val="auto"/>
              </w:rPr>
            </w:pPr>
            <w:r>
              <w:rPr>
                <w:rFonts w:ascii="Arial" w:cs="Arial" w:eastAsia="Arial" w:hAnsi="Arial"/>
                <w:sz w:val="16"/>
                <w:szCs w:val="16"/>
                <w:color w:val="202124"/>
              </w:rPr>
              <w:t>All U.S. AutoZoners with 6-months of service</w:t>
            </w:r>
          </w:p>
        </w:tc>
        <w:tc>
          <w:tcPr>
            <w:tcW w:w="3760" w:type="dxa"/>
            <w:vAlign w:val="bottom"/>
          </w:tcPr>
          <w:p>
            <w:pPr>
              <w:ind w:left="120"/>
              <w:spacing w:after="0"/>
              <w:rPr>
                <w:sz w:val="20"/>
                <w:szCs w:val="20"/>
                <w:color w:val="auto"/>
              </w:rPr>
            </w:pPr>
            <w:r>
              <w:rPr>
                <w:rFonts w:ascii="Arial" w:cs="Arial" w:eastAsia="Arial" w:hAnsi="Arial"/>
                <w:sz w:val="16"/>
                <w:szCs w:val="16"/>
                <w:color w:val="202124"/>
              </w:rPr>
              <w:t>Vice Presidents and above with 6-months of</w:t>
            </w:r>
          </w:p>
        </w:tc>
      </w:tr>
      <w:tr>
        <w:trPr>
          <w:trHeight w:val="215"/>
        </w:trPr>
        <w:tc>
          <w:tcPr>
            <w:tcW w:w="1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202124"/>
              </w:rPr>
              <w:t>service</w:t>
            </w:r>
          </w:p>
        </w:tc>
      </w:tr>
      <w:tr>
        <w:trPr>
          <w:trHeight w:val="124"/>
        </w:trPr>
        <w:tc>
          <w:tcPr>
            <w:tcW w:w="1660" w:type="dxa"/>
            <w:vAlign w:val="bottom"/>
            <w:tcBorders>
              <w:bottom w:val="single" w:sz="8" w:color="F37F00"/>
            </w:tcBorders>
          </w:tcPr>
          <w:p>
            <w:pPr>
              <w:spacing w:after="0"/>
              <w:rPr>
                <w:sz w:val="10"/>
                <w:szCs w:val="10"/>
                <w:color w:val="auto"/>
              </w:rPr>
            </w:pPr>
          </w:p>
        </w:tc>
        <w:tc>
          <w:tcPr>
            <w:tcW w:w="3660" w:type="dxa"/>
            <w:vAlign w:val="bottom"/>
            <w:tcBorders>
              <w:bottom w:val="single" w:sz="8" w:color="F37F00"/>
            </w:tcBorders>
          </w:tcPr>
          <w:p>
            <w:pPr>
              <w:spacing w:after="0"/>
              <w:rPr>
                <w:sz w:val="10"/>
                <w:szCs w:val="10"/>
                <w:color w:val="auto"/>
              </w:rPr>
            </w:pPr>
          </w:p>
        </w:tc>
        <w:tc>
          <w:tcPr>
            <w:tcW w:w="3760" w:type="dxa"/>
            <w:vAlign w:val="bottom"/>
            <w:tcBorders>
              <w:bottom w:val="single" w:sz="8" w:color="F37F00"/>
            </w:tcBorders>
          </w:tcPr>
          <w:p>
            <w:pPr>
              <w:spacing w:after="0"/>
              <w:rPr>
                <w:sz w:val="10"/>
                <w:szCs w:val="10"/>
                <w:color w:val="auto"/>
              </w:rPr>
            </w:pPr>
          </w:p>
        </w:tc>
      </w:tr>
      <w:tr>
        <w:trPr>
          <w:trHeight w:val="236"/>
        </w:trPr>
        <w:tc>
          <w:tcPr>
            <w:tcW w:w="1660" w:type="dxa"/>
            <w:vAlign w:val="bottom"/>
          </w:tcPr>
          <w:p>
            <w:pPr>
              <w:ind w:left="20"/>
              <w:spacing w:after="0"/>
              <w:rPr>
                <w:sz w:val="20"/>
                <w:szCs w:val="20"/>
                <w:color w:val="auto"/>
              </w:rPr>
            </w:pPr>
            <w:r>
              <w:rPr>
                <w:rFonts w:ascii="Arial" w:cs="Arial" w:eastAsia="Arial" w:hAnsi="Arial"/>
                <w:sz w:val="18"/>
                <w:szCs w:val="18"/>
                <w:b w:val="1"/>
                <w:bCs w:val="1"/>
                <w:color w:val="202124"/>
              </w:rPr>
              <w:t>Contributions</w:t>
            </w:r>
          </w:p>
        </w:tc>
        <w:tc>
          <w:tcPr>
            <w:tcW w:w="3660" w:type="dxa"/>
            <w:vAlign w:val="bottom"/>
          </w:tcPr>
          <w:p>
            <w:pPr>
              <w:ind w:left="180"/>
              <w:spacing w:after="0"/>
              <w:rPr>
                <w:sz w:val="20"/>
                <w:szCs w:val="20"/>
                <w:color w:val="auto"/>
              </w:rPr>
            </w:pPr>
            <w:r>
              <w:rPr>
                <w:rFonts w:ascii="Arial" w:cs="Arial" w:eastAsia="Arial" w:hAnsi="Arial"/>
                <w:sz w:val="16"/>
                <w:szCs w:val="16"/>
                <w:color w:val="202124"/>
              </w:rPr>
              <w:t>After tax, limited to lower of 10% of eligible</w:t>
            </w:r>
          </w:p>
        </w:tc>
        <w:tc>
          <w:tcPr>
            <w:tcW w:w="3760" w:type="dxa"/>
            <w:vAlign w:val="bottom"/>
          </w:tcPr>
          <w:p>
            <w:pPr>
              <w:ind w:left="120"/>
              <w:spacing w:after="0"/>
              <w:rPr>
                <w:sz w:val="20"/>
                <w:szCs w:val="20"/>
                <w:color w:val="auto"/>
              </w:rPr>
            </w:pPr>
            <w:r>
              <w:rPr>
                <w:rFonts w:ascii="Arial" w:cs="Arial" w:eastAsia="Arial" w:hAnsi="Arial"/>
                <w:sz w:val="16"/>
                <w:szCs w:val="16"/>
                <w:color w:val="202124"/>
              </w:rPr>
              <w:t>After tax, limited to 25% of eligible compensation</w:t>
            </w:r>
          </w:p>
        </w:tc>
      </w:tr>
      <w:tr>
        <w:trPr>
          <w:trHeight w:val="215"/>
        </w:trPr>
        <w:tc>
          <w:tcPr>
            <w:tcW w:w="166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202124"/>
              </w:rPr>
              <w:t>compensation or $15,000</w:t>
            </w:r>
          </w:p>
        </w:tc>
        <w:tc>
          <w:tcPr>
            <w:tcW w:w="3760" w:type="dxa"/>
            <w:vAlign w:val="bottom"/>
          </w:tcPr>
          <w:p>
            <w:pPr>
              <w:spacing w:after="0"/>
              <w:rPr>
                <w:sz w:val="18"/>
                <w:szCs w:val="18"/>
                <w:color w:val="auto"/>
              </w:rPr>
            </w:pPr>
          </w:p>
        </w:tc>
      </w:tr>
      <w:tr>
        <w:trPr>
          <w:trHeight w:val="124"/>
        </w:trPr>
        <w:tc>
          <w:tcPr>
            <w:tcW w:w="1660" w:type="dxa"/>
            <w:vAlign w:val="bottom"/>
            <w:tcBorders>
              <w:bottom w:val="single" w:sz="8" w:color="F37F00"/>
            </w:tcBorders>
          </w:tcPr>
          <w:p>
            <w:pPr>
              <w:spacing w:after="0"/>
              <w:rPr>
                <w:sz w:val="10"/>
                <w:szCs w:val="10"/>
                <w:color w:val="auto"/>
              </w:rPr>
            </w:pPr>
          </w:p>
        </w:tc>
        <w:tc>
          <w:tcPr>
            <w:tcW w:w="3660" w:type="dxa"/>
            <w:vAlign w:val="bottom"/>
            <w:tcBorders>
              <w:bottom w:val="single" w:sz="8" w:color="F37F00"/>
            </w:tcBorders>
          </w:tcPr>
          <w:p>
            <w:pPr>
              <w:spacing w:after="0"/>
              <w:rPr>
                <w:sz w:val="10"/>
                <w:szCs w:val="10"/>
                <w:color w:val="auto"/>
              </w:rPr>
            </w:pPr>
          </w:p>
        </w:tc>
        <w:tc>
          <w:tcPr>
            <w:tcW w:w="3760" w:type="dxa"/>
            <w:vAlign w:val="bottom"/>
            <w:tcBorders>
              <w:bottom w:val="single" w:sz="8" w:color="F37F00"/>
            </w:tcBorders>
          </w:tcPr>
          <w:p>
            <w:pPr>
              <w:spacing w:after="0"/>
              <w:rPr>
                <w:sz w:val="10"/>
                <w:szCs w:val="10"/>
                <w:color w:val="auto"/>
              </w:rPr>
            </w:pPr>
          </w:p>
        </w:tc>
      </w:tr>
      <w:tr>
        <w:trPr>
          <w:trHeight w:val="236"/>
        </w:trPr>
        <w:tc>
          <w:tcPr>
            <w:tcW w:w="1660" w:type="dxa"/>
            <w:vAlign w:val="bottom"/>
          </w:tcPr>
          <w:p>
            <w:pPr>
              <w:ind w:left="20"/>
              <w:spacing w:after="0"/>
              <w:rPr>
                <w:sz w:val="20"/>
                <w:szCs w:val="20"/>
                <w:color w:val="auto"/>
              </w:rPr>
            </w:pPr>
            <w:r>
              <w:rPr>
                <w:rFonts w:ascii="Arial" w:cs="Arial" w:eastAsia="Arial" w:hAnsi="Arial"/>
                <w:sz w:val="18"/>
                <w:szCs w:val="18"/>
                <w:b w:val="1"/>
                <w:bCs w:val="1"/>
                <w:color w:val="202124"/>
              </w:rPr>
              <w:t>Discount / Match</w:t>
            </w:r>
          </w:p>
        </w:tc>
        <w:tc>
          <w:tcPr>
            <w:tcW w:w="3660" w:type="dxa"/>
            <w:vAlign w:val="bottom"/>
          </w:tcPr>
          <w:p>
            <w:pPr>
              <w:ind w:left="180"/>
              <w:spacing w:after="0"/>
              <w:rPr>
                <w:sz w:val="20"/>
                <w:szCs w:val="20"/>
                <w:color w:val="auto"/>
              </w:rPr>
            </w:pPr>
            <w:r>
              <w:rPr>
                <w:rFonts w:ascii="Arial" w:cs="Arial" w:eastAsia="Arial" w:hAnsi="Arial"/>
                <w:sz w:val="16"/>
                <w:szCs w:val="16"/>
                <w:color w:val="202124"/>
              </w:rPr>
              <w:t>15% discount to FMV</w:t>
            </w:r>
          </w:p>
        </w:tc>
        <w:tc>
          <w:tcPr>
            <w:tcW w:w="3760" w:type="dxa"/>
            <w:vAlign w:val="bottom"/>
          </w:tcPr>
          <w:p>
            <w:pPr>
              <w:ind w:left="120"/>
              <w:spacing w:after="0"/>
              <w:rPr>
                <w:sz w:val="20"/>
                <w:szCs w:val="20"/>
                <w:color w:val="auto"/>
              </w:rPr>
            </w:pPr>
            <w:r>
              <w:rPr>
                <w:rFonts w:ascii="Arial" w:cs="Arial" w:eastAsia="Arial" w:hAnsi="Arial"/>
                <w:sz w:val="16"/>
                <w:szCs w:val="16"/>
                <w:color w:val="202124"/>
              </w:rPr>
              <w:t>Matched Shares provided, such that total shares</w:t>
            </w:r>
          </w:p>
        </w:tc>
      </w:tr>
      <w:tr>
        <w:trPr>
          <w:trHeight w:val="215"/>
        </w:trPr>
        <w:tc>
          <w:tcPr>
            <w:tcW w:w="1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202124"/>
              </w:rPr>
              <w:t>acquired are purchased at a 15% discount to FMV</w:t>
            </w:r>
          </w:p>
        </w:tc>
      </w:tr>
      <w:tr>
        <w:trPr>
          <w:trHeight w:val="123"/>
        </w:trPr>
        <w:tc>
          <w:tcPr>
            <w:tcW w:w="1660" w:type="dxa"/>
            <w:vAlign w:val="bottom"/>
            <w:tcBorders>
              <w:bottom w:val="single" w:sz="8" w:color="F37F00"/>
            </w:tcBorders>
          </w:tcPr>
          <w:p>
            <w:pPr>
              <w:spacing w:after="0"/>
              <w:rPr>
                <w:sz w:val="10"/>
                <w:szCs w:val="10"/>
                <w:color w:val="auto"/>
              </w:rPr>
            </w:pPr>
          </w:p>
        </w:tc>
        <w:tc>
          <w:tcPr>
            <w:tcW w:w="7420" w:type="dxa"/>
            <w:vAlign w:val="bottom"/>
            <w:tcBorders>
              <w:bottom w:val="single" w:sz="8" w:color="F37F00"/>
            </w:tcBorders>
            <w:gridSpan w:val="2"/>
          </w:tcPr>
          <w:p>
            <w:pPr>
              <w:spacing w:after="0"/>
              <w:rPr>
                <w:sz w:val="10"/>
                <w:szCs w:val="10"/>
                <w:color w:val="auto"/>
              </w:rPr>
            </w:pPr>
          </w:p>
        </w:tc>
      </w:tr>
      <w:tr>
        <w:trPr>
          <w:trHeight w:val="236"/>
        </w:trPr>
        <w:tc>
          <w:tcPr>
            <w:tcW w:w="1660" w:type="dxa"/>
            <w:vAlign w:val="bottom"/>
          </w:tcPr>
          <w:p>
            <w:pPr>
              <w:ind w:left="20"/>
              <w:spacing w:after="0"/>
              <w:rPr>
                <w:sz w:val="20"/>
                <w:szCs w:val="20"/>
                <w:color w:val="auto"/>
              </w:rPr>
            </w:pPr>
            <w:r>
              <w:rPr>
                <w:rFonts w:ascii="Arial" w:cs="Arial" w:eastAsia="Arial" w:hAnsi="Arial"/>
                <w:sz w:val="18"/>
                <w:szCs w:val="18"/>
                <w:b w:val="1"/>
                <w:bCs w:val="1"/>
                <w:color w:val="202124"/>
              </w:rPr>
              <w:t>Fair Market Value</w:t>
            </w:r>
          </w:p>
        </w:tc>
        <w:tc>
          <w:tcPr>
            <w:tcW w:w="7420" w:type="dxa"/>
            <w:vAlign w:val="bottom"/>
            <w:gridSpan w:val="2"/>
          </w:tcPr>
          <w:p>
            <w:pPr>
              <w:ind w:left="180"/>
              <w:spacing w:after="0"/>
              <w:rPr>
                <w:sz w:val="20"/>
                <w:szCs w:val="20"/>
                <w:color w:val="auto"/>
              </w:rPr>
            </w:pPr>
            <w:r>
              <w:rPr>
                <w:rFonts w:ascii="Arial" w:cs="Arial" w:eastAsia="Arial" w:hAnsi="Arial"/>
                <w:sz w:val="16"/>
                <w:szCs w:val="16"/>
                <w:color w:val="202124"/>
              </w:rPr>
              <w:t>FMV is the lower of the closing price of a share of FMV is the closing price of a share of AZO</w:t>
            </w:r>
          </w:p>
        </w:tc>
      </w:tr>
      <w:tr>
        <w:trPr>
          <w:trHeight w:val="190"/>
        </w:trPr>
        <w:tc>
          <w:tcPr>
            <w:tcW w:w="1660" w:type="dxa"/>
            <w:vAlign w:val="bottom"/>
          </w:tcPr>
          <w:p>
            <w:pPr>
              <w:ind w:left="20"/>
              <w:spacing w:after="0" w:line="189" w:lineRule="exact"/>
              <w:rPr>
                <w:sz w:val="20"/>
                <w:szCs w:val="20"/>
                <w:color w:val="auto"/>
              </w:rPr>
            </w:pPr>
            <w:r>
              <w:rPr>
                <w:rFonts w:ascii="Arial" w:cs="Arial" w:eastAsia="Arial" w:hAnsi="Arial"/>
                <w:sz w:val="18"/>
                <w:szCs w:val="18"/>
                <w:b w:val="1"/>
                <w:bCs w:val="1"/>
                <w:color w:val="202124"/>
              </w:rPr>
              <w:t>(FMV)</w:t>
            </w:r>
          </w:p>
        </w:tc>
        <w:tc>
          <w:tcPr>
            <w:tcW w:w="3660" w:type="dxa"/>
            <w:vAlign w:val="bottom"/>
          </w:tcPr>
          <w:p>
            <w:pPr>
              <w:ind w:left="180"/>
              <w:spacing w:after="0"/>
              <w:rPr>
                <w:sz w:val="20"/>
                <w:szCs w:val="20"/>
                <w:color w:val="auto"/>
              </w:rPr>
            </w:pPr>
            <w:r>
              <w:rPr>
                <w:rFonts w:ascii="Arial" w:cs="Arial" w:eastAsia="Arial" w:hAnsi="Arial"/>
                <w:sz w:val="16"/>
                <w:szCs w:val="16"/>
                <w:color w:val="202124"/>
              </w:rPr>
              <w:t>AZO common stock on the first and last trading</w:t>
            </w:r>
          </w:p>
        </w:tc>
        <w:tc>
          <w:tcPr>
            <w:tcW w:w="3760" w:type="dxa"/>
            <w:vAlign w:val="bottom"/>
          </w:tcPr>
          <w:p>
            <w:pPr>
              <w:ind w:left="120"/>
              <w:spacing w:after="0"/>
              <w:rPr>
                <w:sz w:val="20"/>
                <w:szCs w:val="20"/>
                <w:color w:val="auto"/>
              </w:rPr>
            </w:pPr>
            <w:r>
              <w:rPr>
                <w:rFonts w:ascii="Arial" w:cs="Arial" w:eastAsia="Arial" w:hAnsi="Arial"/>
                <w:sz w:val="16"/>
                <w:szCs w:val="16"/>
                <w:color w:val="202124"/>
              </w:rPr>
              <w:t>common stock on the last trading day of the</w:t>
            </w:r>
          </w:p>
        </w:tc>
      </w:tr>
      <w:tr>
        <w:trPr>
          <w:trHeight w:val="215"/>
        </w:trPr>
        <w:tc>
          <w:tcPr>
            <w:tcW w:w="166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202124"/>
              </w:rPr>
              <w:t>day of the calendar quarter</w:t>
            </w:r>
          </w:p>
        </w:tc>
        <w:tc>
          <w:tcPr>
            <w:tcW w:w="3760" w:type="dxa"/>
            <w:vAlign w:val="bottom"/>
          </w:tcPr>
          <w:p>
            <w:pPr>
              <w:ind w:left="120"/>
              <w:spacing w:after="0"/>
              <w:rPr>
                <w:sz w:val="20"/>
                <w:szCs w:val="20"/>
                <w:color w:val="auto"/>
              </w:rPr>
            </w:pPr>
            <w:r>
              <w:rPr>
                <w:rFonts w:ascii="Arial" w:cs="Arial" w:eastAsia="Arial" w:hAnsi="Arial"/>
                <w:sz w:val="16"/>
                <w:szCs w:val="16"/>
                <w:color w:val="202124"/>
              </w:rPr>
              <w:t>calendar quarter</w:t>
            </w: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10" w:lineRule="exact"/>
        <w:rPr>
          <w:sz w:val="20"/>
          <w:szCs w:val="20"/>
          <w:color w:val="auto"/>
        </w:rPr>
      </w:pPr>
    </w:p>
    <w:p>
      <w:pPr>
        <w:ind w:left="1000"/>
        <w:spacing w:after="0"/>
        <w:tabs>
          <w:tab w:leader="none" w:pos="2800" w:val="left"/>
        </w:tabs>
        <w:rPr>
          <w:sz w:val="20"/>
          <w:szCs w:val="20"/>
          <w:color w:val="auto"/>
        </w:rPr>
      </w:pPr>
      <w:r>
        <w:rPr>
          <w:rFonts w:ascii="Arial" w:cs="Arial" w:eastAsia="Arial" w:hAnsi="Arial"/>
          <w:sz w:val="18"/>
          <w:szCs w:val="18"/>
          <w:b w:val="1"/>
          <w:bCs w:val="1"/>
          <w:color w:val="202124"/>
        </w:rPr>
        <w:t>Vesting</w:t>
      </w:r>
      <w:r>
        <w:rPr>
          <w:sz w:val="20"/>
          <w:szCs w:val="20"/>
          <w:color w:val="auto"/>
        </w:rPr>
        <w:tab/>
      </w:r>
      <w:r>
        <w:rPr>
          <w:rFonts w:ascii="Arial" w:cs="Arial" w:eastAsia="Arial" w:hAnsi="Arial"/>
          <w:sz w:val="16"/>
          <w:szCs w:val="16"/>
          <w:color w:val="202124"/>
        </w:rPr>
        <w:t>Fully vested, but subject to one-year holding</w:t>
      </w:r>
    </w:p>
    <w:p>
      <w:pPr>
        <w:spacing w:after="0" w:line="5" w:lineRule="exact"/>
        <w:rPr>
          <w:sz w:val="20"/>
          <w:szCs w:val="20"/>
          <w:color w:val="auto"/>
        </w:rPr>
      </w:pPr>
    </w:p>
    <w:p>
      <w:pPr>
        <w:ind w:left="2820"/>
        <w:spacing w:after="0"/>
        <w:rPr>
          <w:sz w:val="20"/>
          <w:szCs w:val="20"/>
          <w:color w:val="auto"/>
        </w:rPr>
      </w:pPr>
      <w:r>
        <w:rPr>
          <w:rFonts w:ascii="Arial" w:cs="Arial" w:eastAsia="Arial" w:hAnsi="Arial"/>
          <w:sz w:val="16"/>
          <w:szCs w:val="16"/>
          <w:color w:val="202124"/>
        </w:rPr>
        <w:t>period</w:t>
      </w:r>
    </w:p>
    <w:p>
      <w:pPr>
        <w:spacing w:after="0" w:line="20" w:lineRule="exact"/>
        <w:rPr>
          <w:sz w:val="20"/>
          <w:szCs w:val="20"/>
          <w:color w:val="auto"/>
        </w:rPr>
      </w:pPr>
      <w:r>
        <w:rPr>
          <w:sz w:val="20"/>
          <w:szCs w:val="20"/>
          <w:color w:val="auto"/>
        </w:rPr>
        <w:br w:type="column"/>
      </w:r>
    </w:p>
    <w:p>
      <w:pPr>
        <w:ind w:right="440"/>
        <w:spacing w:after="0" w:line="266" w:lineRule="auto"/>
        <w:rPr>
          <w:sz w:val="20"/>
          <w:szCs w:val="20"/>
          <w:color w:val="auto"/>
        </w:rPr>
      </w:pPr>
      <w:r>
        <w:rPr>
          <w:rFonts w:ascii="Arial" w:cs="Arial" w:eastAsia="Arial" w:hAnsi="Arial"/>
          <w:sz w:val="16"/>
          <w:szCs w:val="16"/>
          <w:color w:val="202124"/>
        </w:rPr>
        <w:t>Purchased shares are fully vested and subject to one-year holding period. Matched Shares vest after one year.</w:t>
      </w:r>
    </w:p>
    <w:p>
      <w:pPr>
        <w:spacing w:after="0" w:line="200" w:lineRule="exact"/>
        <w:rPr>
          <w:sz w:val="20"/>
          <w:szCs w:val="20"/>
          <w:color w:val="auto"/>
        </w:rPr>
      </w:pPr>
    </w:p>
    <w:p>
      <w:pPr>
        <w:sectPr>
          <w:pgSz w:w="11900" w:h="16838" w:orient="portrait"/>
          <w:cols w:equalWidth="0" w:num="2">
            <w:col w:w="5980" w:space="440"/>
            <w:col w:w="3940"/>
          </w:cols>
          <w:pgMar w:left="440" w:top="106" w:right="1099" w:bottom="1440" w:gutter="0" w:footer="0" w:header="0"/>
          <w:type w:val="continuous"/>
        </w:sectPr>
      </w:pPr>
    </w:p>
    <w:p>
      <w:pPr>
        <w:spacing w:after="0" w:line="74" w:lineRule="exact"/>
        <w:rPr>
          <w:sz w:val="20"/>
          <w:szCs w:val="20"/>
          <w:color w:val="auto"/>
        </w:rPr>
      </w:pPr>
    </w:p>
    <w:p>
      <w:pPr>
        <w:ind w:left="640" w:right="100"/>
        <w:spacing w:after="0" w:line="251" w:lineRule="auto"/>
        <w:rPr>
          <w:sz w:val="20"/>
          <w:szCs w:val="20"/>
          <w:color w:val="auto"/>
        </w:rPr>
      </w:pPr>
      <w:r>
        <w:rPr>
          <w:rFonts w:ascii="Arial" w:cs="Arial" w:eastAsia="Arial" w:hAnsi="Arial"/>
          <w:sz w:val="17"/>
          <w:szCs w:val="17"/>
          <w:b w:val="1"/>
          <w:bCs w:val="1"/>
          <w:i w:val="1"/>
          <w:iCs w:val="1"/>
          <w:color w:val="202124"/>
        </w:rPr>
        <w:t xml:space="preserve">Employee Stock Purchase Plan. </w:t>
      </w:r>
      <w:r>
        <w:rPr>
          <w:rFonts w:ascii="Arial" w:cs="Arial" w:eastAsia="Arial" w:hAnsi="Arial"/>
          <w:sz w:val="17"/>
          <w:szCs w:val="17"/>
          <w:color w:val="202124"/>
        </w:rPr>
        <w:t>AutoZone maintains the Eighth Amended and Restated AutoZone, Inc. Employee</w:t>
      </w:r>
      <w:r>
        <w:rPr>
          <w:rFonts w:ascii="Arial" w:cs="Arial" w:eastAsia="Arial" w:hAnsi="Arial"/>
          <w:sz w:val="17"/>
          <w:szCs w:val="17"/>
          <w:b w:val="1"/>
          <w:bCs w:val="1"/>
          <w:i w:val="1"/>
          <w:iCs w:val="1"/>
          <w:color w:val="202124"/>
        </w:rPr>
        <w:t xml:space="preserve"> </w:t>
      </w:r>
      <w:r>
        <w:rPr>
          <w:rFonts w:ascii="Arial" w:cs="Arial" w:eastAsia="Arial" w:hAnsi="Arial"/>
          <w:sz w:val="17"/>
          <w:szCs w:val="17"/>
          <w:color w:val="202124"/>
        </w:rPr>
        <w:t>Stock Purchase Plan (“Employee Stock Purchase Plan” or “ESPP”) which enables all US. AutoZoners, with six months of</w:t>
      </w:r>
    </w:p>
    <w:p>
      <w:pPr>
        <w:ind w:left="640"/>
        <w:spacing w:after="0" w:line="235" w:lineRule="auto"/>
        <w:rPr>
          <w:sz w:val="20"/>
          <w:szCs w:val="20"/>
          <w:color w:val="auto"/>
        </w:rPr>
      </w:pPr>
      <w:r>
        <w:rPr>
          <w:rFonts w:ascii="Arial" w:cs="Arial" w:eastAsia="Arial" w:hAnsi="Arial"/>
          <w:sz w:val="18"/>
          <w:szCs w:val="18"/>
          <w:color w:val="202124"/>
        </w:rPr>
        <w:t>service, to purchase AutoZone common stock at a 15% discount to FMV, subject to IRS-determined limitations. Based on</w:t>
      </w:r>
    </w:p>
    <w:p>
      <w:pPr>
        <w:ind w:left="640" w:right="180"/>
        <w:spacing w:after="0"/>
        <w:rPr>
          <w:sz w:val="20"/>
          <w:szCs w:val="20"/>
          <w:color w:val="auto"/>
        </w:rPr>
      </w:pPr>
      <w:r>
        <w:rPr>
          <w:rFonts w:ascii="Arial" w:cs="Arial" w:eastAsia="Arial" w:hAnsi="Arial"/>
          <w:sz w:val="17"/>
          <w:szCs w:val="17"/>
          <w:color w:val="202124"/>
        </w:rPr>
        <w:t>IRS rules, annual purchases in the ESPP are limited to the lower of $15,000 or 10% of eligible compensation. In connection with the 2026 Annual Meeting, the Company has proposed for shareholder approval the Ninth Amended and</w:t>
      </w:r>
    </w:p>
    <w:p>
      <w:pPr>
        <w:ind w:left="640"/>
        <w:spacing w:after="0" w:line="235" w:lineRule="auto"/>
        <w:rPr>
          <w:sz w:val="20"/>
          <w:szCs w:val="20"/>
          <w:color w:val="auto"/>
        </w:rPr>
      </w:pPr>
      <w:r>
        <w:rPr>
          <w:rFonts w:ascii="Arial" w:cs="Arial" w:eastAsia="Arial" w:hAnsi="Arial"/>
          <w:sz w:val="18"/>
          <w:szCs w:val="18"/>
          <w:color w:val="202124"/>
        </w:rPr>
        <w:t>Restated AutoZone, Inc. Employee Stock Purchase Plan (the “A&amp;R ESPP”). For a summary of key terms of the A&amp;R</w:t>
      </w:r>
    </w:p>
    <w:p>
      <w:pPr>
        <w:ind w:left="640" w:right="280"/>
        <w:spacing w:after="0" w:line="237" w:lineRule="auto"/>
        <w:rPr>
          <w:sz w:val="20"/>
          <w:szCs w:val="20"/>
          <w:color w:val="auto"/>
        </w:rPr>
      </w:pPr>
      <w:r>
        <w:rPr>
          <w:rFonts w:ascii="Arial" w:cs="Arial" w:eastAsia="Arial" w:hAnsi="Arial"/>
          <w:sz w:val="18"/>
          <w:szCs w:val="18"/>
          <w:color w:val="202124"/>
        </w:rPr>
        <w:t>ESPP, please see Proposal 4: Approval of the AutoZone, Inc. Ninth Amended and Restated Employee Stock Purchase Plan, beginning on page 34 of this Proxy Statement.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202124"/>
        </w:rPr>
        <w:t xml:space="preserve">Executive Stock Purchase Plan. </w:t>
      </w:r>
      <w:r>
        <w:rPr>
          <w:rFonts w:ascii="Arial" w:cs="Arial" w:eastAsia="Arial" w:hAnsi="Arial"/>
          <w:sz w:val="18"/>
          <w:szCs w:val="18"/>
          <w:color w:val="202124"/>
        </w:rPr>
        <w:t>To support and encourage greater stock ownership by our leadership, AutoZone has</w:t>
      </w:r>
    </w:p>
    <w:p>
      <w:pPr>
        <w:spacing w:after="0" w:line="14" w:lineRule="exact"/>
        <w:rPr>
          <w:sz w:val="20"/>
          <w:szCs w:val="20"/>
          <w:color w:val="auto"/>
        </w:rPr>
      </w:pPr>
    </w:p>
    <w:p>
      <w:pPr>
        <w:ind w:left="640" w:right="200"/>
        <w:spacing w:after="0"/>
        <w:rPr>
          <w:sz w:val="20"/>
          <w:szCs w:val="20"/>
          <w:color w:val="auto"/>
        </w:rPr>
      </w:pPr>
      <w:r>
        <w:rPr>
          <w:rFonts w:ascii="Arial" w:cs="Arial" w:eastAsia="Arial" w:hAnsi="Arial"/>
          <w:sz w:val="17"/>
          <w:szCs w:val="17"/>
          <w:color w:val="202124"/>
        </w:rPr>
        <w:t>also established a non-qualified stock purchase plan. The AutoZone, Inc. Sixth Amended and Restated Executive Stock Purchase Plan (“Executive Stock Purchase Plan” or “XSPP”) operated in a similar manner to the ESPP by allowing</w:t>
      </w:r>
    </w:p>
    <w:p>
      <w:pPr>
        <w:ind w:left="640"/>
        <w:spacing w:after="0" w:line="235" w:lineRule="auto"/>
        <w:rPr>
          <w:sz w:val="20"/>
          <w:szCs w:val="20"/>
          <w:color w:val="auto"/>
        </w:rPr>
      </w:pPr>
      <w:r>
        <w:rPr>
          <w:rFonts w:ascii="Arial" w:cs="Arial" w:eastAsia="Arial" w:hAnsi="Arial"/>
          <w:sz w:val="18"/>
          <w:szCs w:val="18"/>
          <w:color w:val="202124"/>
        </w:rPr>
        <w:t>executives to acquire shares of AutoZone common stock at a 15% discount to FMV. Because the XSPP was not required</w:t>
      </w:r>
    </w:p>
    <w:p>
      <w:pPr>
        <w:ind w:left="640" w:right="480"/>
        <w:spacing w:after="0"/>
        <w:rPr>
          <w:sz w:val="20"/>
          <w:szCs w:val="20"/>
          <w:color w:val="auto"/>
        </w:rPr>
      </w:pPr>
      <w:r>
        <w:rPr>
          <w:rFonts w:ascii="Arial" w:cs="Arial" w:eastAsia="Arial" w:hAnsi="Arial"/>
          <w:sz w:val="17"/>
          <w:szCs w:val="17"/>
          <w:color w:val="202124"/>
        </w:rPr>
        <w:t>to comply with the requirements of Section 423 of the Internal Revenue Code of 1986, as amended (the “Internal Revenue Code”), it provided for a higher limit on the percentage of a participant’s compensation that may be used to</w:t>
      </w:r>
    </w:p>
    <w:p>
      <w:pPr>
        <w:spacing w:after="0" w:line="1" w:lineRule="exact"/>
        <w:rPr>
          <w:sz w:val="20"/>
          <w:szCs w:val="20"/>
          <w:color w:val="auto"/>
        </w:rPr>
      </w:pPr>
    </w:p>
    <w:p>
      <w:pPr>
        <w:ind w:left="640" w:right="60"/>
        <w:spacing w:after="0"/>
        <w:rPr>
          <w:sz w:val="20"/>
          <w:szCs w:val="20"/>
          <w:color w:val="auto"/>
        </w:rPr>
      </w:pPr>
      <w:r>
        <w:rPr>
          <w:rFonts w:ascii="Arial" w:cs="Arial" w:eastAsia="Arial" w:hAnsi="Arial"/>
          <w:sz w:val="17"/>
          <w:szCs w:val="17"/>
          <w:color w:val="202124"/>
        </w:rPr>
        <w:t>purchase shares and is limited to 25% of the eligible compensation with respect to the plan year. Under the XSPP, shares of AutoZone common stock were purchased at 100% of FMV (i.e., not at a discount), and a specified number of shares</w:t>
      </w:r>
    </w:p>
    <w:p>
      <w:pPr>
        <w:ind w:left="640"/>
        <w:spacing w:after="0" w:line="235" w:lineRule="auto"/>
        <w:rPr>
          <w:sz w:val="20"/>
          <w:szCs w:val="20"/>
          <w:color w:val="auto"/>
        </w:rPr>
      </w:pPr>
      <w:r>
        <w:rPr>
          <w:rFonts w:ascii="Arial" w:cs="Arial" w:eastAsia="Arial" w:hAnsi="Arial"/>
          <w:sz w:val="18"/>
          <w:szCs w:val="18"/>
          <w:color w:val="202124"/>
        </w:rPr>
        <w:t>(the “Matched Shares”) were issued by the Company at no cost to the participant such that the total number of shares</w:t>
      </w:r>
    </w:p>
    <w:p>
      <w:pPr>
        <w:ind w:left="640" w:right="20"/>
        <w:spacing w:after="0" w:line="226" w:lineRule="auto"/>
        <w:rPr>
          <w:sz w:val="20"/>
          <w:szCs w:val="20"/>
          <w:color w:val="auto"/>
        </w:rPr>
      </w:pPr>
      <w:r>
        <w:rPr>
          <w:rFonts w:ascii="Arial" w:cs="Arial" w:eastAsia="Arial" w:hAnsi="Arial"/>
          <w:sz w:val="18"/>
          <w:szCs w:val="18"/>
          <w:color w:val="202124"/>
        </w:rPr>
        <w:t>received was equivalent to acquiring the shares at 15% discount to FMV. The Matched Shares were to remain unvested for one year from the date of purchase and subject to forfeiture during that time. The plan expired January 1, 2026, and all</w:t>
      </w:r>
    </w:p>
    <w:p>
      <w:pPr>
        <w:ind w:left="640"/>
        <w:spacing w:after="0" w:line="236" w:lineRule="auto"/>
        <w:rPr>
          <w:sz w:val="20"/>
          <w:szCs w:val="20"/>
          <w:color w:val="auto"/>
        </w:rPr>
      </w:pPr>
      <w:r>
        <w:rPr>
          <w:rFonts w:ascii="Arial" w:cs="Arial" w:eastAsia="Arial" w:hAnsi="Arial"/>
          <w:sz w:val="18"/>
          <w:szCs w:val="18"/>
          <w:color w:val="202124"/>
        </w:rPr>
        <w:t>elections occurred before such expiration. In connection with the 2026 Annual Meeting, the Company has proposed for</w:t>
      </w:r>
    </w:p>
    <w:p>
      <w:pPr>
        <w:spacing w:after="0" w:line="1" w:lineRule="exact"/>
        <w:rPr>
          <w:sz w:val="20"/>
          <w:szCs w:val="20"/>
          <w:color w:val="auto"/>
        </w:rPr>
      </w:pPr>
    </w:p>
    <w:p>
      <w:pPr>
        <w:ind w:left="640" w:right="220"/>
        <w:spacing w:after="0"/>
        <w:rPr>
          <w:sz w:val="20"/>
          <w:szCs w:val="20"/>
          <w:color w:val="auto"/>
        </w:rPr>
      </w:pPr>
      <w:r>
        <w:rPr>
          <w:rFonts w:ascii="Arial" w:cs="Arial" w:eastAsia="Arial" w:hAnsi="Arial"/>
          <w:sz w:val="17"/>
          <w:szCs w:val="17"/>
          <w:color w:val="202124"/>
        </w:rPr>
        <w:t>shareholder approval the Seventh Amended and Restated AutoZone, Inc. Executive Stock Purchase Plan (the “A&amp;R XSPP”). For a summary of key terms of the A&amp;R XSPP, please see Proposal 5: Approval of the AutoZone, Inc. Seventh</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Amended and Restated Executive Stock Purchase Plan, beginning on page 37 of this Proxy Statement.</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Retirement Plans</w:t>
      </w:r>
    </w:p>
    <w:p>
      <w:pPr>
        <w:spacing w:after="0" w:line="63" w:lineRule="exact"/>
        <w:rPr>
          <w:sz w:val="20"/>
          <w:szCs w:val="20"/>
          <w:color w:val="auto"/>
        </w:rPr>
      </w:pPr>
    </w:p>
    <w:p>
      <w:pPr>
        <w:ind w:left="640" w:right="320"/>
        <w:spacing w:after="0" w:line="251" w:lineRule="auto"/>
        <w:rPr>
          <w:sz w:val="20"/>
          <w:szCs w:val="20"/>
          <w:color w:val="auto"/>
        </w:rPr>
      </w:pPr>
      <w:r>
        <w:rPr>
          <w:rFonts w:ascii="Arial" w:cs="Arial" w:eastAsia="Arial" w:hAnsi="Arial"/>
          <w:sz w:val="17"/>
          <w:szCs w:val="17"/>
          <w:b w:val="1"/>
          <w:bCs w:val="1"/>
          <w:i w:val="1"/>
          <w:iCs w:val="1"/>
          <w:color w:val="202124"/>
        </w:rPr>
        <w:t xml:space="preserve">401(k) Retirement Plan. </w:t>
      </w:r>
      <w:r>
        <w:rPr>
          <w:rFonts w:ascii="Arial" w:cs="Arial" w:eastAsia="Arial" w:hAnsi="Arial"/>
          <w:sz w:val="17"/>
          <w:szCs w:val="17"/>
          <w:color w:val="202124"/>
        </w:rPr>
        <w:t>AutoZoners based in the United States are eligible to participate in the AutoZone, Inc. 401(k)</w:t>
      </w:r>
      <w:r>
        <w:rPr>
          <w:rFonts w:ascii="Arial" w:cs="Arial" w:eastAsia="Arial" w:hAnsi="Arial"/>
          <w:sz w:val="17"/>
          <w:szCs w:val="17"/>
          <w:b w:val="1"/>
          <w:bCs w:val="1"/>
          <w:i w:val="1"/>
          <w:iCs w:val="1"/>
          <w:color w:val="202124"/>
        </w:rPr>
        <w:t xml:space="preserve"> </w:t>
      </w:r>
      <w:r>
        <w:rPr>
          <w:rFonts w:ascii="Arial" w:cs="Arial" w:eastAsia="Arial" w:hAnsi="Arial"/>
          <w:sz w:val="17"/>
          <w:szCs w:val="17"/>
          <w:color w:val="202124"/>
        </w:rPr>
        <w:t>Plan on day one of employment. The 401(k) Plan is a qualified plan that meets the requirements of Internal Revenue</w:t>
      </w:r>
    </w:p>
    <w:p>
      <w:pPr>
        <w:ind w:left="640"/>
        <w:spacing w:after="0" w:line="235" w:lineRule="auto"/>
        <w:rPr>
          <w:sz w:val="20"/>
          <w:szCs w:val="20"/>
          <w:color w:val="auto"/>
        </w:rPr>
      </w:pPr>
      <w:r>
        <w:rPr>
          <w:rFonts w:ascii="Arial" w:cs="Arial" w:eastAsia="Arial" w:hAnsi="Arial"/>
          <w:sz w:val="18"/>
          <w:szCs w:val="18"/>
          <w:color w:val="202124"/>
        </w:rPr>
        <w:t>Code Section 401(a). The 401(k) Plan allows participants to make a pretax contribution of a specified percentage of their</w:t>
      </w:r>
    </w:p>
    <w:p>
      <w:pPr>
        <w:jc w:val="both"/>
        <w:ind w:left="640" w:right="220"/>
        <w:spacing w:after="0"/>
        <w:rPr>
          <w:sz w:val="20"/>
          <w:szCs w:val="20"/>
          <w:color w:val="auto"/>
        </w:rPr>
      </w:pPr>
      <w:r>
        <w:rPr>
          <w:rFonts w:ascii="Arial" w:cs="Arial" w:eastAsia="Arial" w:hAnsi="Arial"/>
          <w:sz w:val="17"/>
          <w:szCs w:val="17"/>
          <w:color w:val="202124"/>
        </w:rPr>
        <w:t>annual pay, up to IRS-imposed maximums, into an investment account. The Company provides a matching contribution that is calculated based on 100% of the first 3% of contributions and 50% of the next 2% of contributions into the 401(k)</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60   </w:t>
      </w:r>
      <w:r>
        <w:rPr>
          <w:sz w:val="1"/>
          <w:szCs w:val="1"/>
          <w:color w:val="auto"/>
        </w:rPr>
        <w:drawing>
          <wp:inline distT="0" distB="0" distL="0" distR="0">
            <wp:extent cx="1165860" cy="1371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type w:val="continuous"/>
        </w:sectPr>
      </w:pPr>
    </w:p>
    <w:bookmarkStart w:id="63" w:name="page64"/>
    <w:bookmarkEnd w:id="63"/>
    <w:p>
      <w:pPr>
        <w:jc w:val="center"/>
        <w:ind w:firstLine="8"/>
        <w:spacing w:after="0" w:line="225" w:lineRule="auto"/>
        <w:framePr w:w="4440" w:h="973" w:wrap="auto" w:vAnchor="page" w:hAnchor="page" w:x="6200" w:y="3582"/>
        <w:rPr>
          <w:rFonts w:ascii="Arial" w:cs="Arial" w:eastAsia="Arial" w:hAnsi="Arial"/>
          <w:sz w:val="18"/>
          <w:szCs w:val="18"/>
          <w:color w:val="202124"/>
        </w:rPr>
      </w:pPr>
      <w:r>
        <w:rPr>
          <w:rFonts w:ascii="Arial" w:cs="Arial" w:eastAsia="Arial" w:hAnsi="Arial"/>
          <w:sz w:val="18"/>
          <w:szCs w:val="18"/>
          <w:color w:val="202124"/>
        </w:rPr>
        <w:t>Treat people with dignity and respect. Recognize great work and provide frequent feedback. Demonstrate concern for others and your community. Create a safe environment. Own your development and help develop others.</w:t>
      </w:r>
    </w:p>
    <w:p>
      <w:pPr>
        <w:ind w:firstLine="8"/>
        <w:spacing w:after="0" w:line="187" w:lineRule="auto"/>
        <w:framePr w:w="3840" w:h="261" w:wrap="auto" w:vAnchor="page" w:hAnchor="page" w:x="6500" w:y="2620"/>
        <w:rPr>
          <w:rFonts w:ascii="Arial" w:cs="Arial" w:eastAsia="Arial" w:hAnsi="Arial"/>
          <w:sz w:val="29"/>
          <w:szCs w:val="29"/>
          <w:color w:val="202124"/>
        </w:rPr>
      </w:pPr>
      <w:r>
        <w:rPr>
          <w:rFonts w:ascii="Arial" w:cs="Arial" w:eastAsia="Arial" w:hAnsi="Arial"/>
          <w:sz w:val="29"/>
          <w:szCs w:val="29"/>
          <w:color w:val="202124"/>
        </w:rPr>
        <w:t>A</w:t>
      </w:r>
      <w:r>
        <w:rPr>
          <w:rFonts w:ascii="Arial" w:cs="Arial" w:eastAsia="Arial" w:hAnsi="Arial"/>
          <w:sz w:val="20"/>
          <w:szCs w:val="20"/>
          <w:color w:val="202124"/>
        </w:rPr>
        <w:t>n</w:t>
      </w:r>
      <w:r>
        <w:rPr>
          <w:rFonts w:ascii="Arial" w:cs="Arial" w:eastAsia="Arial" w:hAnsi="Arial"/>
          <w:sz w:val="29"/>
          <w:szCs w:val="29"/>
          <w:color w:val="202124"/>
        </w:rPr>
        <w:t xml:space="preserve"> A</w:t>
      </w:r>
      <w:r>
        <w:rPr>
          <w:rFonts w:ascii="Arial" w:cs="Arial" w:eastAsia="Arial" w:hAnsi="Arial"/>
          <w:sz w:val="20"/>
          <w:szCs w:val="20"/>
          <w:color w:val="202124"/>
        </w:rPr>
        <w:t>uto</w:t>
      </w:r>
      <w:r>
        <w:rPr>
          <w:rFonts w:ascii="Arial" w:cs="Arial" w:eastAsia="Arial" w:hAnsi="Arial"/>
          <w:sz w:val="29"/>
          <w:szCs w:val="29"/>
          <w:color w:val="202124"/>
        </w:rPr>
        <w:t>Z</w:t>
      </w:r>
      <w:r>
        <w:rPr>
          <w:rFonts w:ascii="Arial" w:cs="Arial" w:eastAsia="Arial" w:hAnsi="Arial"/>
          <w:sz w:val="20"/>
          <w:szCs w:val="20"/>
          <w:color w:val="202124"/>
        </w:rPr>
        <w:t>oner always</w:t>
      </w:r>
      <w:r>
        <w:rPr>
          <w:rFonts w:ascii="Arial" w:cs="Arial" w:eastAsia="Arial" w:hAnsi="Arial"/>
          <w:sz w:val="29"/>
          <w:szCs w:val="29"/>
          <w:color w:val="202124"/>
        </w:rPr>
        <w:t xml:space="preserve"> </w:t>
      </w:r>
      <w:r>
        <w:rPr>
          <w:rFonts w:ascii="Arial" w:cs="Arial" w:eastAsia="Arial" w:hAnsi="Arial"/>
          <w:sz w:val="29"/>
          <w:szCs w:val="29"/>
          <w:b w:val="1"/>
          <w:bCs w:val="1"/>
          <w:color w:val="202124"/>
        </w:rPr>
        <w:t>CARES</w:t>
      </w:r>
    </w:p>
    <w:p>
      <w:pPr>
        <w:ind w:firstLine="8"/>
        <w:spacing w:after="0" w:line="194" w:lineRule="auto"/>
        <w:framePr w:w="2360" w:h="261" w:wrap="auto" w:vAnchor="page" w:hAnchor="page" w:x="7240" w:y="2957"/>
        <w:rPr>
          <w:rFonts w:ascii="Arial" w:cs="Arial" w:eastAsia="Arial" w:hAnsi="Arial"/>
          <w:sz w:val="28"/>
          <w:szCs w:val="28"/>
          <w:b w:val="1"/>
          <w:bCs w:val="1"/>
          <w:color w:val="202124"/>
        </w:rPr>
      </w:pPr>
      <w:r>
        <w:rPr>
          <w:rFonts w:ascii="Arial" w:cs="Arial" w:eastAsia="Arial" w:hAnsi="Arial"/>
          <w:sz w:val="28"/>
          <w:szCs w:val="28"/>
          <w:b w:val="1"/>
          <w:bCs w:val="1"/>
          <w:color w:val="202124"/>
        </w:rPr>
        <w:t>ABOUT PEOPLE</w:t>
      </w:r>
    </w:p>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rFonts w:ascii="Arial" w:cs="Arial" w:eastAsia="Arial" w:hAnsi="Arial"/>
          <w:sz w:val="28"/>
          <w:szCs w:val="28"/>
          <w:b w:val="1"/>
          <w:bCs w:val="1"/>
          <w:color w:val="202124"/>
        </w:rPr>
      </w:pPr>
      <w:r>
        <w:rPr>
          <w:rFonts w:ascii="Arial" w:cs="Arial" w:eastAsia="Arial" w:hAnsi="Arial"/>
          <w:sz w:val="28"/>
          <w:szCs w:val="28"/>
          <w:b w:val="1"/>
          <w:bCs w:val="1"/>
          <w:color w:val="202124"/>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50" w:lineRule="exact"/>
        <w:rPr>
          <w:rFonts w:ascii="Arial" w:cs="Arial" w:eastAsia="Arial" w:hAnsi="Arial"/>
          <w:sz w:val="28"/>
          <w:szCs w:val="28"/>
          <w:b w:val="1"/>
          <w:bCs w:val="1"/>
          <w:color w:val="202124"/>
        </w:rPr>
      </w:pPr>
    </w:p>
    <w:p>
      <w:pPr>
        <w:ind w:left="640" w:right="20"/>
        <w:spacing w:after="0" w:line="242" w:lineRule="auto"/>
        <w:rPr>
          <w:sz w:val="20"/>
          <w:szCs w:val="20"/>
          <w:color w:val="auto"/>
        </w:rPr>
      </w:pPr>
      <w:r>
        <w:rPr>
          <w:rFonts w:ascii="Arial" w:cs="Arial" w:eastAsia="Arial" w:hAnsi="Arial"/>
          <w:sz w:val="18"/>
          <w:szCs w:val="18"/>
          <w:b w:val="1"/>
          <w:bCs w:val="1"/>
          <w:i w:val="1"/>
          <w:iCs w:val="1"/>
          <w:color w:val="202124"/>
        </w:rPr>
        <w:t xml:space="preserve">Executive Deferred Compensation Plan. </w:t>
      </w:r>
      <w:r>
        <w:rPr>
          <w:rFonts w:ascii="Arial" w:cs="Arial" w:eastAsia="Arial" w:hAnsi="Arial"/>
          <w:sz w:val="18"/>
          <w:szCs w:val="18"/>
          <w:color w:val="202124"/>
        </w:rPr>
        <w:t>AutoZone officers based in the United States are eligible to participate in the</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AutoZone, Inc. Executive Deferred Compensation Plan (“Executive Deferred Compensation Plan” or “EDCP”). The EDCP is a nonqualified plan that allows participants to make a pretax deferral of up to 25% of base salary and/or up to 75% of annual cash incentive compensation, with a Company-provided matching contribution that is calculated based on 100% of the first 3% of deferrals and 50% of the next 2% deferred, less the maximum value of the Company match available generally to participants in AutoZone’s 401(k) Plan.</w:t>
      </w:r>
    </w:p>
    <w:p>
      <w:pPr>
        <w:spacing w:after="0" w:line="44"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8"/>
          <w:szCs w:val="18"/>
          <w:b w:val="1"/>
          <w:bCs w:val="1"/>
          <w:color w:val="202124"/>
        </w:rPr>
        <w:t>Taking Care of People</w:t>
      </w:r>
    </w:p>
    <w:p>
      <w:pPr>
        <w:spacing w:after="0" w:line="104" w:lineRule="exact"/>
        <w:rPr>
          <w:rFonts w:ascii="Arial" w:cs="Arial" w:eastAsia="Arial" w:hAnsi="Arial"/>
          <w:sz w:val="28"/>
          <w:szCs w:val="28"/>
          <w:b w:val="1"/>
          <w:bCs w:val="1"/>
          <w:color w:val="202124"/>
        </w:rPr>
      </w:pPr>
    </w:p>
    <w:p>
      <w:pPr>
        <w:ind w:left="640" w:right="5260"/>
        <w:spacing w:after="0" w:line="242" w:lineRule="auto"/>
        <w:rPr>
          <w:sz w:val="20"/>
          <w:szCs w:val="20"/>
          <w:color w:val="auto"/>
        </w:rPr>
      </w:pPr>
      <w:r>
        <w:rPr>
          <w:rFonts w:ascii="Arial" w:cs="Arial" w:eastAsia="Arial" w:hAnsi="Arial"/>
          <w:sz w:val="18"/>
          <w:szCs w:val="18"/>
          <w:b w:val="1"/>
          <w:bCs w:val="1"/>
          <w:i w:val="1"/>
          <w:iCs w:val="1"/>
          <w:color w:val="202124"/>
        </w:rPr>
        <w:t>Salary Continuation Death Benefit</w:t>
      </w:r>
      <w:r>
        <w:rPr>
          <w:rFonts w:ascii="Arial" w:cs="Arial" w:eastAsia="Arial" w:hAnsi="Arial"/>
          <w:sz w:val="18"/>
          <w:szCs w:val="18"/>
          <w:b w:val="1"/>
          <w:bCs w:val="1"/>
          <w:color w:val="202124"/>
        </w:rPr>
        <w:t>.</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In the unfortunate</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event an eligible full-time AutoZoner passes away, AutoZone will provide up to 12 weeks of the deceased AutoZoner’s pay to their named beneficiary. This benefit reflects our steadfast commitment to take care of our people, because their family is our family.</w:t>
      </w:r>
    </w:p>
    <w:p>
      <w:pPr>
        <w:spacing w:after="0" w:line="111" w:lineRule="exact"/>
        <w:rPr>
          <w:rFonts w:ascii="Arial" w:cs="Arial" w:eastAsia="Arial" w:hAnsi="Arial"/>
          <w:sz w:val="28"/>
          <w:szCs w:val="28"/>
          <w:b w:val="1"/>
          <w:bCs w:val="1"/>
          <w:color w:val="202124"/>
        </w:rPr>
      </w:pPr>
    </w:p>
    <w:p>
      <w:pPr>
        <w:ind w:left="640" w:right="5020"/>
        <w:spacing w:after="0" w:line="251" w:lineRule="auto"/>
        <w:rPr>
          <w:sz w:val="20"/>
          <w:szCs w:val="20"/>
          <w:color w:val="auto"/>
        </w:rPr>
      </w:pPr>
      <w:r>
        <w:rPr>
          <w:rFonts w:ascii="Arial" w:cs="Arial" w:eastAsia="Arial" w:hAnsi="Arial"/>
          <w:sz w:val="17"/>
          <w:szCs w:val="17"/>
          <w:b w:val="1"/>
          <w:bCs w:val="1"/>
          <w:i w:val="1"/>
          <w:iCs w:val="1"/>
          <w:color w:val="202124"/>
        </w:rPr>
        <w:t xml:space="preserve">Matching Charitable Gift Program. </w:t>
      </w:r>
      <w:r>
        <w:rPr>
          <w:rFonts w:ascii="Arial" w:cs="Arial" w:eastAsia="Arial" w:hAnsi="Arial"/>
          <w:sz w:val="17"/>
          <w:szCs w:val="17"/>
          <w:color w:val="202124"/>
        </w:rPr>
        <w:t>At AutoZone, we</w:t>
      </w:r>
      <w:r>
        <w:rPr>
          <w:rFonts w:ascii="Arial" w:cs="Arial" w:eastAsia="Arial" w:hAnsi="Arial"/>
          <w:sz w:val="17"/>
          <w:szCs w:val="17"/>
          <w:b w:val="1"/>
          <w:bCs w:val="1"/>
          <w:i w:val="1"/>
          <w:iCs w:val="1"/>
          <w:color w:val="202124"/>
        </w:rPr>
        <w:t xml:space="preserve"> </w:t>
      </w:r>
      <w:r>
        <w:rPr>
          <w:rFonts w:ascii="Arial" w:cs="Arial" w:eastAsia="Arial" w:hAnsi="Arial"/>
          <w:sz w:val="17"/>
          <w:szCs w:val="17"/>
          <w:color w:val="202124"/>
        </w:rPr>
        <w:t>encourage our AutoZoners to be active members of the communities in which they live, work and serve. Through our Matching Gift Program, we commit to match AutoZoner donations dollar-for-dollar, up to $ 500 per AutoZoner per fiscal year to qualified charities of their choice. Our Matching Gift program is available to all full-time and part-</w:t>
      </w:r>
    </w:p>
    <w:p>
      <w:pPr>
        <w:spacing w:after="0" w:line="4" w:lineRule="exact"/>
        <w:rPr>
          <w:rFonts w:ascii="Arial" w:cs="Arial" w:eastAsia="Arial" w:hAnsi="Arial"/>
          <w:sz w:val="28"/>
          <w:szCs w:val="28"/>
          <w:b w:val="1"/>
          <w:bCs w:val="1"/>
          <w:color w:val="202124"/>
        </w:rPr>
      </w:pPr>
    </w:p>
    <w:p>
      <w:pPr>
        <w:ind w:left="640" w:right="740"/>
        <w:spacing w:after="0" w:line="250" w:lineRule="auto"/>
        <w:rPr>
          <w:sz w:val="20"/>
          <w:szCs w:val="20"/>
          <w:color w:val="auto"/>
        </w:rPr>
      </w:pPr>
      <w:r>
        <w:rPr>
          <w:rFonts w:ascii="Arial" w:cs="Arial" w:eastAsia="Arial" w:hAnsi="Arial"/>
          <w:sz w:val="18"/>
          <w:szCs w:val="18"/>
          <w:color w:val="202124"/>
        </w:rPr>
        <w:t>time AutoZoners in the United States. For Vice Presidents, AutoZone will match up to $10,000, and for Executive Committee members, AutoZone will match up to $50,000.</w:t>
      </w:r>
    </w:p>
    <w:p>
      <w:pPr>
        <w:spacing w:after="0" w:line="10" w:lineRule="exact"/>
        <w:rPr>
          <w:rFonts w:ascii="Arial" w:cs="Arial" w:eastAsia="Arial" w:hAnsi="Arial"/>
          <w:sz w:val="28"/>
          <w:szCs w:val="28"/>
          <w:b w:val="1"/>
          <w:bCs w:val="1"/>
          <w:color w:val="202124"/>
        </w:rPr>
      </w:pPr>
    </w:p>
    <w:p>
      <w:pPr>
        <w:ind w:left="640" w:right="180"/>
        <w:spacing w:after="0" w:line="271" w:lineRule="auto"/>
        <w:rPr>
          <w:sz w:val="20"/>
          <w:szCs w:val="20"/>
          <w:color w:val="auto"/>
        </w:rPr>
      </w:pPr>
      <w:r>
        <w:rPr>
          <w:rFonts w:ascii="Arial" w:cs="Arial" w:eastAsia="Arial" w:hAnsi="Arial"/>
          <w:sz w:val="18"/>
          <w:szCs w:val="18"/>
          <w:b w:val="1"/>
          <w:bCs w:val="1"/>
          <w:i w:val="1"/>
          <w:iCs w:val="1"/>
          <w:color w:val="202124"/>
        </w:rPr>
        <w:t xml:space="preserve">Limited Perquisites. </w:t>
      </w:r>
      <w:r>
        <w:rPr>
          <w:rFonts w:ascii="Arial" w:cs="Arial" w:eastAsia="Arial" w:hAnsi="Arial"/>
          <w:sz w:val="18"/>
          <w:szCs w:val="18"/>
          <w:color w:val="202124"/>
        </w:rPr>
        <w:t>The Company provides limited perquisites and personal benefits to its executives in order to allow</w:t>
      </w:r>
      <w:r>
        <w:rPr>
          <w:rFonts w:ascii="Arial" w:cs="Arial" w:eastAsia="Arial" w:hAnsi="Arial"/>
          <w:sz w:val="18"/>
          <w:szCs w:val="18"/>
          <w:b w:val="1"/>
          <w:bCs w:val="1"/>
          <w:i w:val="1"/>
          <w:iCs w:val="1"/>
          <w:color w:val="202124"/>
        </w:rPr>
        <w:t xml:space="preserve"> </w:t>
      </w:r>
      <w:r>
        <w:rPr>
          <w:rFonts w:ascii="Arial" w:cs="Arial" w:eastAsia="Arial" w:hAnsi="Arial"/>
          <w:sz w:val="18"/>
          <w:szCs w:val="18"/>
          <w:color w:val="202124"/>
        </w:rPr>
        <w:t>them to devote more time to their business responsibilities while also promoting health, wellness and safety.</w:t>
      </w:r>
    </w:p>
    <w:p>
      <w:pPr>
        <w:spacing w:after="0" w:line="5" w:lineRule="exact"/>
        <w:rPr>
          <w:rFonts w:ascii="Arial" w:cs="Arial" w:eastAsia="Arial" w:hAnsi="Arial"/>
          <w:sz w:val="28"/>
          <w:szCs w:val="28"/>
          <w:b w:val="1"/>
          <w:bCs w:val="1"/>
          <w:color w:val="202124"/>
        </w:rPr>
      </w:pPr>
    </w:p>
    <w:p>
      <w:pPr>
        <w:ind w:left="1300" w:right="40" w:hanging="332"/>
        <w:spacing w:after="0" w:line="236" w:lineRule="auto"/>
        <w:tabs>
          <w:tab w:leader="none" w:pos="1300" w:val="left"/>
        </w:tabs>
        <w:numPr>
          <w:ilvl w:val="0"/>
          <w:numId w:val="89"/>
        </w:numPr>
        <w:rPr>
          <w:rFonts w:ascii="Times New Roman" w:cs="Times New Roman" w:eastAsia="Times New Roman" w:hAnsi="Times New Roman"/>
          <w:sz w:val="18"/>
          <w:szCs w:val="18"/>
          <w:color w:val="F37F00"/>
        </w:rPr>
      </w:pPr>
      <w:r>
        <w:rPr>
          <w:rFonts w:ascii="Arial" w:cs="Arial" w:eastAsia="Arial" w:hAnsi="Arial"/>
          <w:sz w:val="18"/>
          <w:szCs w:val="18"/>
          <w:i w:val="1"/>
          <w:iCs w:val="1"/>
          <w:color w:val="202124"/>
        </w:rPr>
        <w:t xml:space="preserve">Company Aircraft. </w:t>
      </w:r>
      <w:r>
        <w:rPr>
          <w:rFonts w:ascii="Arial" w:cs="Arial" w:eastAsia="Arial" w:hAnsi="Arial"/>
          <w:sz w:val="18"/>
          <w:szCs w:val="18"/>
          <w:color w:val="202124"/>
        </w:rPr>
        <w:t>Senior executives may periodically use AutoZone’s private aircraft for personal travel pursuant</w:t>
      </w:r>
      <w:r>
        <w:rPr>
          <w:rFonts w:ascii="Arial" w:cs="Arial" w:eastAsia="Arial" w:hAnsi="Arial"/>
          <w:sz w:val="18"/>
          <w:szCs w:val="18"/>
          <w:i w:val="1"/>
          <w:iCs w:val="1"/>
          <w:color w:val="202124"/>
        </w:rPr>
        <w:t xml:space="preserve"> </w:t>
      </w:r>
      <w:r>
        <w:rPr>
          <w:rFonts w:ascii="Arial" w:cs="Arial" w:eastAsia="Arial" w:hAnsi="Arial"/>
          <w:sz w:val="18"/>
          <w:szCs w:val="18"/>
          <w:color w:val="202124"/>
        </w:rPr>
        <w:t>to an agreement with the Company. Under the agreement, the Company must be reimbursed for the direct, incremental cost to the Company arising from the personal use of the aircraft. These expenses include the cost of fuel, aircraft maintenance plan costs related to the trip, ramp fees, pilot expenses (if contract pilots are used on the trip), any special insurance for the trip, and other direct costs to the Company. All of the fixed costs related to the use of the private aircraft, such as regular insurance premiums, hangar fees, depreciation and subscription costs, are paid by the Company, and reimbursement is not required for such costs.</w:t>
      </w:r>
    </w:p>
    <w:p>
      <w:pPr>
        <w:spacing w:after="0" w:line="32" w:lineRule="exact"/>
        <w:rPr>
          <w:rFonts w:ascii="Times New Roman" w:cs="Times New Roman" w:eastAsia="Times New Roman" w:hAnsi="Times New Roman"/>
          <w:sz w:val="18"/>
          <w:szCs w:val="18"/>
          <w:color w:val="F37F00"/>
        </w:rPr>
      </w:pPr>
    </w:p>
    <w:p>
      <w:pPr>
        <w:ind w:left="1300" w:right="20" w:hanging="332"/>
        <w:spacing w:after="0" w:line="244" w:lineRule="auto"/>
        <w:tabs>
          <w:tab w:leader="none" w:pos="1300" w:val="left"/>
        </w:tabs>
        <w:numPr>
          <w:ilvl w:val="0"/>
          <w:numId w:val="89"/>
        </w:numPr>
        <w:rPr>
          <w:rFonts w:ascii="Times New Roman" w:cs="Times New Roman" w:eastAsia="Times New Roman" w:hAnsi="Times New Roman"/>
          <w:sz w:val="18"/>
          <w:szCs w:val="18"/>
          <w:color w:val="F37F00"/>
        </w:rPr>
      </w:pPr>
      <w:r>
        <w:rPr>
          <w:rFonts w:ascii="Arial" w:cs="Arial" w:eastAsia="Arial" w:hAnsi="Arial"/>
          <w:sz w:val="18"/>
          <w:szCs w:val="18"/>
          <w:i w:val="1"/>
          <w:iCs w:val="1"/>
          <w:color w:val="202124"/>
        </w:rPr>
        <w:t xml:space="preserve">Other. </w:t>
      </w:r>
      <w:r>
        <w:rPr>
          <w:rFonts w:ascii="Arial" w:cs="Arial" w:eastAsia="Arial" w:hAnsi="Arial"/>
          <w:sz w:val="18"/>
          <w:szCs w:val="18"/>
          <w:color w:val="202124"/>
        </w:rPr>
        <w:t>The Company also provides its executive officers with home security system and/or monitoring services,</w:t>
      </w:r>
      <w:r>
        <w:rPr>
          <w:rFonts w:ascii="Arial" w:cs="Arial" w:eastAsia="Arial" w:hAnsi="Arial"/>
          <w:sz w:val="18"/>
          <w:szCs w:val="18"/>
          <w:i w:val="1"/>
          <w:iCs w:val="1"/>
          <w:color w:val="202124"/>
        </w:rPr>
        <w:t xml:space="preserve"> </w:t>
      </w:r>
      <w:r>
        <w:rPr>
          <w:rFonts w:ascii="Arial" w:cs="Arial" w:eastAsia="Arial" w:hAnsi="Arial"/>
          <w:sz w:val="18"/>
          <w:szCs w:val="18"/>
          <w:color w:val="202124"/>
        </w:rPr>
        <w:t>airline club memberships and status upgrades, Company-paid spouse business-related travel, and Company-paid long-term disability insurance premiums.</w:t>
      </w:r>
    </w:p>
    <w:p>
      <w:pPr>
        <w:spacing w:after="0" w:line="29"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8"/>
          <w:szCs w:val="18"/>
          <w:b w:val="1"/>
          <w:bCs w:val="1"/>
          <w:color w:val="F37F00"/>
        </w:rPr>
        <w:t>RISK ASSESSMENT OF COMPENSATION PROGRAMS</w:t>
      </w:r>
    </w:p>
    <w:p>
      <w:pPr>
        <w:spacing w:after="0" w:line="63"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8"/>
          <w:szCs w:val="18"/>
          <w:color w:val="202124"/>
        </w:rPr>
        <w:t>Management has assessed our compensation programs and concluded that our compensation policies and practices do</w:t>
      </w:r>
    </w:p>
    <w:p>
      <w:pPr>
        <w:spacing w:after="0" w:line="14" w:lineRule="exact"/>
        <w:rPr>
          <w:rFonts w:ascii="Arial" w:cs="Arial" w:eastAsia="Arial" w:hAnsi="Arial"/>
          <w:sz w:val="28"/>
          <w:szCs w:val="28"/>
          <w:b w:val="1"/>
          <w:bCs w:val="1"/>
          <w:color w:val="202124"/>
        </w:rPr>
      </w:pPr>
    </w:p>
    <w:p>
      <w:pPr>
        <w:ind w:left="640" w:right="120"/>
        <w:spacing w:after="0"/>
        <w:rPr>
          <w:sz w:val="20"/>
          <w:szCs w:val="20"/>
          <w:color w:val="auto"/>
        </w:rPr>
      </w:pPr>
      <w:r>
        <w:rPr>
          <w:rFonts w:ascii="Arial" w:cs="Arial" w:eastAsia="Arial" w:hAnsi="Arial"/>
          <w:sz w:val="17"/>
          <w:szCs w:val="17"/>
          <w:color w:val="202124"/>
        </w:rPr>
        <w:t>not create risks that are reasonably likely to have a material adverse effect on AutoZone. This risk assessment included reviewing the design and operation of our compensation programs, identifying and evaluating situations or compensation</w:t>
      </w:r>
    </w:p>
    <w:p>
      <w:pPr>
        <w:spacing w:after="0" w:line="1" w:lineRule="exact"/>
        <w:rPr>
          <w:rFonts w:ascii="Arial" w:cs="Arial" w:eastAsia="Arial" w:hAnsi="Arial"/>
          <w:sz w:val="28"/>
          <w:szCs w:val="28"/>
          <w:b w:val="1"/>
          <w:bCs w:val="1"/>
          <w:color w:val="202124"/>
        </w:rPr>
      </w:pPr>
    </w:p>
    <w:p>
      <w:pPr>
        <w:ind w:left="640" w:right="40"/>
        <w:spacing w:after="0" w:line="279" w:lineRule="auto"/>
        <w:rPr>
          <w:sz w:val="20"/>
          <w:szCs w:val="20"/>
          <w:color w:val="auto"/>
        </w:rPr>
      </w:pPr>
      <w:r>
        <w:rPr>
          <w:rFonts w:ascii="Arial" w:cs="Arial" w:eastAsia="Arial" w:hAnsi="Arial"/>
          <w:sz w:val="17"/>
          <w:szCs w:val="17"/>
          <w:color w:val="202124"/>
        </w:rPr>
        <w:t>elements that could raise more significant risks, and evaluating other controls and processes designed to identify and manage risk. The Compensation Committee reviewed the risk assessment and concurred with management’s conclusion.</w:t>
      </w:r>
    </w:p>
    <w:p>
      <w:pPr>
        <w:ind w:left="640"/>
        <w:spacing w:after="0"/>
        <w:rPr>
          <w:sz w:val="20"/>
          <w:szCs w:val="20"/>
          <w:color w:val="auto"/>
        </w:rPr>
      </w:pPr>
      <w:r>
        <w:rPr>
          <w:rFonts w:ascii="Arial" w:cs="Arial" w:eastAsia="Arial" w:hAnsi="Arial"/>
          <w:sz w:val="18"/>
          <w:szCs w:val="18"/>
          <w:b w:val="1"/>
          <w:bCs w:val="1"/>
          <w:color w:val="F37F00"/>
        </w:rPr>
        <w:t>TAX CONSIDERATIONS</w:t>
      </w:r>
    </w:p>
    <w:p>
      <w:pPr>
        <w:spacing w:after="0" w:line="63" w:lineRule="exact"/>
        <w:rPr>
          <w:rFonts w:ascii="Arial" w:cs="Arial" w:eastAsia="Arial" w:hAnsi="Arial"/>
          <w:sz w:val="28"/>
          <w:szCs w:val="28"/>
          <w:b w:val="1"/>
          <w:bCs w:val="1"/>
          <w:color w:val="202124"/>
        </w:rPr>
      </w:pPr>
    </w:p>
    <w:p>
      <w:pPr>
        <w:ind w:left="640" w:right="280"/>
        <w:spacing w:after="0" w:line="237" w:lineRule="auto"/>
        <w:rPr>
          <w:sz w:val="20"/>
          <w:szCs w:val="20"/>
          <w:color w:val="auto"/>
        </w:rPr>
      </w:pPr>
      <w:r>
        <w:rPr>
          <w:rFonts w:ascii="Arial" w:cs="Arial" w:eastAsia="Arial" w:hAnsi="Arial"/>
          <w:sz w:val="18"/>
          <w:szCs w:val="18"/>
          <w:color w:val="202124"/>
        </w:rPr>
        <w:t>Section 409A of the Code sets forth strict rules related to non-qualified deferred compensation earned and vested. The Internal Revenue Service periodically releases Notices and other guidance related to Section 409A, and AutoZone</w:t>
      </w:r>
    </w:p>
    <w:p>
      <w:pPr>
        <w:spacing w:after="0" w:line="1"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8"/>
          <w:szCs w:val="18"/>
          <w:color w:val="202124"/>
        </w:rPr>
        <w:t>continues to take actions designed to comply with the Section’s applicable requirements.</w:t>
      </w:r>
    </w:p>
    <w:p>
      <w:pPr>
        <w:spacing w:after="0" w:line="45"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8"/>
          <w:szCs w:val="18"/>
          <w:b w:val="1"/>
          <w:bCs w:val="1"/>
          <w:color w:val="F37F00"/>
        </w:rPr>
        <w:t>COMPENSATION COMMITTEE INTERLOCKS AND INSIDER PARTICIPATION</w:t>
      </w:r>
    </w:p>
    <w:p>
      <w:pPr>
        <w:spacing w:after="0" w:line="63"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8"/>
          <w:szCs w:val="18"/>
          <w:color w:val="202124"/>
        </w:rPr>
        <w:t>The Compensation Committee is composed solely of independent, non-employee directors. None of the members of the</w:t>
      </w:r>
    </w:p>
    <w:p>
      <w:pPr>
        <w:spacing w:after="0" w:line="14" w:lineRule="exact"/>
        <w:rPr>
          <w:rFonts w:ascii="Arial" w:cs="Arial" w:eastAsia="Arial" w:hAnsi="Arial"/>
          <w:sz w:val="28"/>
          <w:szCs w:val="28"/>
          <w:b w:val="1"/>
          <w:bCs w:val="1"/>
          <w:color w:val="202124"/>
        </w:rPr>
      </w:pPr>
    </w:p>
    <w:p>
      <w:pPr>
        <w:ind w:left="640"/>
        <w:spacing w:after="0" w:line="226" w:lineRule="auto"/>
        <w:rPr>
          <w:sz w:val="20"/>
          <w:szCs w:val="20"/>
          <w:color w:val="auto"/>
        </w:rPr>
      </w:pPr>
      <w:r>
        <w:rPr>
          <w:rFonts w:ascii="Arial" w:cs="Arial" w:eastAsia="Arial" w:hAnsi="Arial"/>
          <w:sz w:val="18"/>
          <w:szCs w:val="18"/>
          <w:color w:val="202124"/>
        </w:rPr>
        <w:t>Compensation Committee (i) was an officer or employee of the Company at any time during the prior fiscal year or (ii) is or was a participant in a “related person” transaction with the Company since the beginning of fiscal 2026. No executive</w:t>
      </w:r>
    </w:p>
    <w:p>
      <w:pPr>
        <w:spacing w:after="0" w:line="2" w:lineRule="exact"/>
        <w:rPr>
          <w:rFonts w:ascii="Arial" w:cs="Arial" w:eastAsia="Arial" w:hAnsi="Arial"/>
          <w:sz w:val="28"/>
          <w:szCs w:val="28"/>
          <w:b w:val="1"/>
          <w:bCs w:val="1"/>
          <w:color w:val="202124"/>
        </w:rPr>
      </w:pPr>
    </w:p>
    <w:p>
      <w:pPr>
        <w:ind w:left="640"/>
        <w:spacing w:after="0"/>
        <w:rPr>
          <w:sz w:val="20"/>
          <w:szCs w:val="20"/>
          <w:color w:val="auto"/>
        </w:rPr>
      </w:pPr>
      <w:r>
        <w:rPr>
          <w:rFonts w:ascii="Arial" w:cs="Arial" w:eastAsia="Arial" w:hAnsi="Arial"/>
          <w:sz w:val="17"/>
          <w:szCs w:val="17"/>
          <w:color w:val="202124"/>
        </w:rPr>
        <w:t>officer of the Company serves, or in the past fiscal year has served on the compensation committee or Board performing a</w:t>
      </w:r>
    </w:p>
    <w:p>
      <w:pPr>
        <w:spacing w:after="0" w:line="7" w:lineRule="exact"/>
        <w:rPr>
          <w:rFonts w:ascii="Arial" w:cs="Arial" w:eastAsia="Arial" w:hAnsi="Arial"/>
          <w:sz w:val="28"/>
          <w:szCs w:val="28"/>
          <w:b w:val="1"/>
          <w:bCs w:val="1"/>
          <w:color w:val="202124"/>
        </w:rPr>
      </w:pPr>
    </w:p>
    <w:p>
      <w:pPr>
        <w:ind w:left="640" w:right="120"/>
        <w:spacing w:after="0" w:line="237" w:lineRule="auto"/>
        <w:rPr>
          <w:sz w:val="20"/>
          <w:szCs w:val="20"/>
          <w:color w:val="auto"/>
        </w:rPr>
      </w:pPr>
      <w:r>
        <w:rPr>
          <w:rFonts w:ascii="Arial" w:cs="Arial" w:eastAsia="Arial" w:hAnsi="Arial"/>
          <w:sz w:val="18"/>
          <w:szCs w:val="18"/>
          <w:color w:val="202124"/>
        </w:rPr>
        <w:t>compensation committee function of any company that has one or more of its executives officers serving as a member of the Company’s Compensation Committee or Board performing a compensation committee function</w:t>
      </w:r>
      <w:r>
        <w:rPr>
          <w:rFonts w:ascii="Arial" w:cs="Arial" w:eastAsia="Arial" w:hAnsi="Arial"/>
          <w:sz w:val="18"/>
          <w:szCs w:val="18"/>
          <w:color w:val="000000"/>
        </w:rPr>
        <w:t>.</w:t>
      </w: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00" w:lineRule="exact"/>
        <w:rPr>
          <w:rFonts w:ascii="Arial" w:cs="Arial" w:eastAsia="Arial" w:hAnsi="Arial"/>
          <w:sz w:val="28"/>
          <w:szCs w:val="28"/>
          <w:b w:val="1"/>
          <w:bCs w:val="1"/>
          <w:color w:val="202124"/>
        </w:rPr>
      </w:pPr>
    </w:p>
    <w:p>
      <w:pPr>
        <w:spacing w:after="0" w:line="228" w:lineRule="exact"/>
        <w:rPr>
          <w:rFonts w:ascii="Arial" w:cs="Arial" w:eastAsia="Arial" w:hAnsi="Arial"/>
          <w:sz w:val="28"/>
          <w:szCs w:val="28"/>
          <w:b w:val="1"/>
          <w:bCs w:val="1"/>
          <w:color w:val="202124"/>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61</w:t>
            </w:r>
          </w:p>
        </w:tc>
      </w:tr>
    </w:tbl>
    <w:p>
      <w:pPr>
        <w:sectPr>
          <w:pgSz w:w="11900" w:h="16838" w:orient="portrait"/>
          <w:cols w:equalWidth="0" w:num="1">
            <w:col w:w="10360"/>
          </w:cols>
          <w:pgMar w:left="440" w:top="106" w:right="1099" w:bottom="1440" w:gutter="0" w:footer="0" w:header="0"/>
        </w:sectPr>
      </w:pPr>
    </w:p>
    <w:bookmarkStart w:id="64" w:name="page65"/>
    <w:bookmarkEnd w:id="6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Summary Compensation Table</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This table shows the compensation paid to the NEOs during the 2026, 2025 and 2024 fiscal years.</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740" w:type="dxa"/>
            <w:vAlign w:val="bottom"/>
            <w:shd w:val="clear" w:color="auto" w:fill="212322"/>
          </w:tcPr>
          <w:p>
            <w:pPr>
              <w:spacing w:after="0"/>
              <w:rPr>
                <w:sz w:val="13"/>
                <w:szCs w:val="13"/>
                <w:color w:val="auto"/>
              </w:rPr>
            </w:pPr>
          </w:p>
        </w:tc>
        <w:tc>
          <w:tcPr>
            <w:tcW w:w="660" w:type="dxa"/>
            <w:vAlign w:val="bottom"/>
            <w:shd w:val="clear" w:color="auto" w:fill="212322"/>
          </w:tcPr>
          <w:p>
            <w:pPr>
              <w:ind w:left="80"/>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212322"/>
          </w:tcPr>
          <w:p>
            <w:pPr>
              <w:jc w:val="right"/>
              <w:ind w:right="593"/>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212322"/>
          </w:tcPr>
          <w:p>
            <w:pPr>
              <w:ind w:left="60"/>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212322"/>
          </w:tcPr>
          <w:p>
            <w:pPr>
              <w:jc w:val="right"/>
              <w:ind w:right="593"/>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212322"/>
          </w:tcPr>
          <w:p>
            <w:pPr>
              <w:ind w:left="60"/>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212322"/>
          </w:tcPr>
          <w:p>
            <w:pPr>
              <w:jc w:val="right"/>
              <w:ind w:right="73"/>
              <w:spacing w:after="0"/>
              <w:rPr>
                <w:sz w:val="20"/>
                <w:szCs w:val="20"/>
                <w:color w:val="auto"/>
              </w:rPr>
            </w:pPr>
            <w:r>
              <w:rPr>
                <w:rFonts w:ascii="Arial" w:cs="Arial" w:eastAsia="Arial" w:hAnsi="Arial"/>
                <w:sz w:val="13"/>
                <w:szCs w:val="13"/>
                <w:b w:val="1"/>
                <w:bCs w:val="1"/>
                <w:color w:val="FFFFFF"/>
              </w:rPr>
              <w:t>​​​ Non-Equity</w:t>
            </w:r>
          </w:p>
        </w:tc>
        <w:tc>
          <w:tcPr>
            <w:tcW w:w="1100" w:type="dxa"/>
            <w:vAlign w:val="bottom"/>
            <w:shd w:val="clear" w:color="auto" w:fill="212322"/>
          </w:tcPr>
          <w:p>
            <w:pPr>
              <w:jc w:val="right"/>
              <w:ind w:right="873"/>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212322"/>
          </w:tcPr>
          <w:p>
            <w:pPr>
              <w:jc w:val="right"/>
              <w:ind w:right="633"/>
              <w:spacing w:after="0"/>
              <w:rPr>
                <w:sz w:val="20"/>
                <w:szCs w:val="20"/>
                <w:color w:val="auto"/>
              </w:rPr>
            </w:pPr>
            <w:r>
              <w:rPr>
                <w:rFonts w:ascii="Arial" w:cs="Arial" w:eastAsia="Arial" w:hAnsi="Arial"/>
                <w:sz w:val="13"/>
                <w:szCs w:val="13"/>
                <w:b w:val="1"/>
                <w:bCs w:val="1"/>
                <w:color w:val="FFFFFF"/>
              </w:rPr>
              <w:t>​​​</w:t>
            </w:r>
          </w:p>
        </w:tc>
      </w:tr>
      <w:tr>
        <w:trPr>
          <w:trHeight w:val="148"/>
        </w:trPr>
        <w:tc>
          <w:tcPr>
            <w:tcW w:w="2740" w:type="dxa"/>
            <w:vAlign w:val="bottom"/>
            <w:shd w:val="clear" w:color="auto" w:fill="212322"/>
          </w:tcPr>
          <w:p>
            <w:pPr>
              <w:spacing w:after="0"/>
              <w:rPr>
                <w:sz w:val="12"/>
                <w:szCs w:val="12"/>
                <w:color w:val="auto"/>
              </w:rPr>
            </w:pPr>
          </w:p>
        </w:tc>
        <w:tc>
          <w:tcPr>
            <w:tcW w:w="660" w:type="dxa"/>
            <w:vAlign w:val="bottom"/>
            <w:shd w:val="clear" w:color="auto" w:fill="212322"/>
          </w:tcPr>
          <w:p>
            <w:pPr>
              <w:spacing w:after="0"/>
              <w:rPr>
                <w:sz w:val="12"/>
                <w:szCs w:val="12"/>
                <w:color w:val="auto"/>
              </w:rPr>
            </w:pPr>
          </w:p>
        </w:tc>
        <w:tc>
          <w:tcPr>
            <w:tcW w:w="840" w:type="dxa"/>
            <w:vAlign w:val="bottom"/>
            <w:shd w:val="clear" w:color="auto" w:fill="212322"/>
          </w:tcPr>
          <w:p>
            <w:pPr>
              <w:spacing w:after="0"/>
              <w:rPr>
                <w:sz w:val="12"/>
                <w:szCs w:val="12"/>
                <w:color w:val="auto"/>
              </w:rPr>
            </w:pPr>
          </w:p>
        </w:tc>
        <w:tc>
          <w:tcPr>
            <w:tcW w:w="780" w:type="dxa"/>
            <w:vAlign w:val="bottom"/>
            <w:shd w:val="clear" w:color="auto" w:fill="212322"/>
          </w:tcPr>
          <w:p>
            <w:pPr>
              <w:spacing w:after="0"/>
              <w:rPr>
                <w:sz w:val="12"/>
                <w:szCs w:val="12"/>
                <w:color w:val="auto"/>
              </w:rPr>
            </w:pPr>
          </w:p>
        </w:tc>
        <w:tc>
          <w:tcPr>
            <w:tcW w:w="840" w:type="dxa"/>
            <w:vAlign w:val="bottom"/>
            <w:shd w:val="clear" w:color="auto" w:fill="212322"/>
          </w:tcPr>
          <w:p>
            <w:pPr>
              <w:jc w:val="center"/>
              <w:ind w:left="53"/>
              <w:spacing w:after="0"/>
              <w:rPr>
                <w:sz w:val="20"/>
                <w:szCs w:val="20"/>
                <w:color w:val="auto"/>
              </w:rPr>
            </w:pPr>
            <w:r>
              <w:rPr>
                <w:rFonts w:ascii="Arial" w:cs="Arial" w:eastAsia="Arial" w:hAnsi="Arial"/>
                <w:sz w:val="13"/>
                <w:szCs w:val="13"/>
                <w:b w:val="1"/>
                <w:bCs w:val="1"/>
                <w:color w:val="FFFFFF"/>
              </w:rPr>
              <w:t>Stock</w:t>
            </w:r>
          </w:p>
        </w:tc>
        <w:tc>
          <w:tcPr>
            <w:tcW w:w="820" w:type="dxa"/>
            <w:vAlign w:val="bottom"/>
            <w:shd w:val="clear" w:color="auto" w:fill="212322"/>
          </w:tcPr>
          <w:p>
            <w:pPr>
              <w:jc w:val="center"/>
              <w:ind w:left="33"/>
              <w:spacing w:after="0"/>
              <w:rPr>
                <w:sz w:val="20"/>
                <w:szCs w:val="20"/>
                <w:color w:val="auto"/>
              </w:rPr>
            </w:pPr>
            <w:r>
              <w:rPr>
                <w:rFonts w:ascii="Arial" w:cs="Arial" w:eastAsia="Arial" w:hAnsi="Arial"/>
                <w:sz w:val="13"/>
                <w:szCs w:val="13"/>
                <w:b w:val="1"/>
                <w:bCs w:val="1"/>
                <w:color w:val="FFFFFF"/>
              </w:rPr>
              <w:t>Option</w:t>
            </w:r>
          </w:p>
        </w:tc>
        <w:tc>
          <w:tcPr>
            <w:tcW w:w="110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rPr>
              <w:t>Incentive Plan</w:t>
            </w:r>
          </w:p>
        </w:tc>
        <w:tc>
          <w:tcPr>
            <w:tcW w:w="1100" w:type="dxa"/>
            <w:vAlign w:val="bottom"/>
            <w:shd w:val="clear" w:color="auto" w:fill="212322"/>
          </w:tcPr>
          <w:p>
            <w:pPr>
              <w:jc w:val="center"/>
              <w:ind w:left="13"/>
              <w:spacing w:after="0"/>
              <w:rPr>
                <w:sz w:val="20"/>
                <w:szCs w:val="20"/>
                <w:color w:val="auto"/>
              </w:rPr>
            </w:pPr>
            <w:r>
              <w:rPr>
                <w:rFonts w:ascii="Arial" w:cs="Arial" w:eastAsia="Arial" w:hAnsi="Arial"/>
                <w:sz w:val="13"/>
                <w:szCs w:val="13"/>
                <w:b w:val="1"/>
                <w:bCs w:val="1"/>
                <w:color w:val="FFFFFF"/>
              </w:rPr>
              <w:t>All Other</w:t>
            </w:r>
          </w:p>
        </w:tc>
        <w:tc>
          <w:tcPr>
            <w:tcW w:w="840" w:type="dxa"/>
            <w:vAlign w:val="bottom"/>
            <w:shd w:val="clear" w:color="auto" w:fill="212322"/>
          </w:tcPr>
          <w:p>
            <w:pPr>
              <w:spacing w:after="0"/>
              <w:rPr>
                <w:sz w:val="12"/>
                <w:szCs w:val="12"/>
                <w:color w:val="auto"/>
              </w:rPr>
            </w:pPr>
          </w:p>
        </w:tc>
      </w:tr>
      <w:tr>
        <w:trPr>
          <w:trHeight w:val="163"/>
        </w:trPr>
        <w:tc>
          <w:tcPr>
            <w:tcW w:w="2740" w:type="dxa"/>
            <w:vAlign w:val="bottom"/>
            <w:shd w:val="clear" w:color="auto" w:fill="212322"/>
          </w:tcPr>
          <w:p>
            <w:pPr>
              <w:spacing w:after="0"/>
              <w:rPr>
                <w:sz w:val="14"/>
                <w:szCs w:val="14"/>
                <w:color w:val="auto"/>
              </w:rPr>
            </w:pPr>
          </w:p>
        </w:tc>
        <w:tc>
          <w:tcPr>
            <w:tcW w:w="660" w:type="dxa"/>
            <w:vAlign w:val="bottom"/>
            <w:shd w:val="clear" w:color="auto" w:fill="212322"/>
          </w:tcPr>
          <w:p>
            <w:pPr>
              <w:spacing w:after="0"/>
              <w:rPr>
                <w:sz w:val="14"/>
                <w:szCs w:val="14"/>
                <w:color w:val="auto"/>
              </w:rPr>
            </w:pPr>
          </w:p>
        </w:tc>
        <w:tc>
          <w:tcPr>
            <w:tcW w:w="840" w:type="dxa"/>
            <w:vAlign w:val="bottom"/>
            <w:shd w:val="clear" w:color="auto" w:fill="212322"/>
          </w:tcPr>
          <w:p>
            <w:pPr>
              <w:jc w:val="right"/>
              <w:ind w:right="93"/>
              <w:spacing w:after="0"/>
              <w:rPr>
                <w:sz w:val="20"/>
                <w:szCs w:val="20"/>
                <w:color w:val="auto"/>
              </w:rPr>
            </w:pPr>
            <w:r>
              <w:rPr>
                <w:rFonts w:ascii="Arial" w:cs="Arial" w:eastAsia="Arial" w:hAnsi="Arial"/>
                <w:sz w:val="13"/>
                <w:szCs w:val="13"/>
                <w:b w:val="1"/>
                <w:bCs w:val="1"/>
                <w:color w:val="FFFFFF"/>
              </w:rPr>
              <w:t>Salary</w:t>
            </w:r>
          </w:p>
        </w:tc>
        <w:tc>
          <w:tcPr>
            <w:tcW w:w="780" w:type="dxa"/>
            <w:vAlign w:val="bottom"/>
            <w:shd w:val="clear" w:color="auto" w:fill="212322"/>
          </w:tcPr>
          <w:p>
            <w:pPr>
              <w:ind w:left="240"/>
              <w:spacing w:after="0"/>
              <w:rPr>
                <w:sz w:val="20"/>
                <w:szCs w:val="20"/>
                <w:color w:val="auto"/>
              </w:rPr>
            </w:pPr>
            <w:r>
              <w:rPr>
                <w:rFonts w:ascii="Arial" w:cs="Arial" w:eastAsia="Arial" w:hAnsi="Arial"/>
                <w:sz w:val="13"/>
                <w:szCs w:val="13"/>
                <w:b w:val="1"/>
                <w:bCs w:val="1"/>
                <w:color w:val="FFFFFF"/>
              </w:rPr>
              <w:t>Bonus</w:t>
            </w:r>
          </w:p>
        </w:tc>
        <w:tc>
          <w:tcPr>
            <w:tcW w:w="840" w:type="dxa"/>
            <w:vAlign w:val="bottom"/>
            <w:shd w:val="clear" w:color="auto" w:fill="212322"/>
          </w:tcPr>
          <w:p>
            <w:pPr>
              <w:jc w:val="center"/>
              <w:ind w:left="53"/>
              <w:spacing w:after="0"/>
              <w:rPr>
                <w:sz w:val="20"/>
                <w:szCs w:val="20"/>
                <w:color w:val="auto"/>
              </w:rPr>
            </w:pPr>
            <w:r>
              <w:rPr>
                <w:rFonts w:ascii="Arial" w:cs="Arial" w:eastAsia="Arial" w:hAnsi="Arial"/>
                <w:sz w:val="13"/>
                <w:szCs w:val="13"/>
                <w:b w:val="1"/>
                <w:bCs w:val="1"/>
                <w:color w:val="FFFFFF"/>
              </w:rPr>
              <w:t>Awards</w:t>
            </w:r>
          </w:p>
        </w:tc>
        <w:tc>
          <w:tcPr>
            <w:tcW w:w="820" w:type="dxa"/>
            <w:vAlign w:val="bottom"/>
            <w:shd w:val="clear" w:color="auto" w:fill="212322"/>
          </w:tcPr>
          <w:p>
            <w:pPr>
              <w:jc w:val="center"/>
              <w:ind w:left="33"/>
              <w:spacing w:after="0"/>
              <w:rPr>
                <w:sz w:val="20"/>
                <w:szCs w:val="20"/>
                <w:color w:val="auto"/>
              </w:rPr>
            </w:pPr>
            <w:r>
              <w:rPr>
                <w:rFonts w:ascii="Arial" w:cs="Arial" w:eastAsia="Arial" w:hAnsi="Arial"/>
                <w:sz w:val="13"/>
                <w:szCs w:val="13"/>
                <w:b w:val="1"/>
                <w:bCs w:val="1"/>
                <w:color w:val="FFFFFF"/>
              </w:rPr>
              <w:t>Awards</w:t>
            </w:r>
          </w:p>
        </w:tc>
        <w:tc>
          <w:tcPr>
            <w:tcW w:w="1100" w:type="dxa"/>
            <w:vAlign w:val="bottom"/>
            <w:shd w:val="clear" w:color="auto" w:fill="212322"/>
          </w:tcPr>
          <w:p>
            <w:pPr>
              <w:jc w:val="center"/>
              <w:ind w:left="33"/>
              <w:spacing w:after="0"/>
              <w:rPr>
                <w:sz w:val="20"/>
                <w:szCs w:val="20"/>
                <w:color w:val="auto"/>
              </w:rPr>
            </w:pPr>
            <w:r>
              <w:rPr>
                <w:rFonts w:ascii="Arial" w:cs="Arial" w:eastAsia="Arial" w:hAnsi="Arial"/>
                <w:sz w:val="13"/>
                <w:szCs w:val="13"/>
                <w:b w:val="1"/>
                <w:bCs w:val="1"/>
                <w:color w:val="FFFFFF"/>
              </w:rPr>
              <w:t>Compensation</w:t>
            </w:r>
          </w:p>
        </w:tc>
        <w:tc>
          <w:tcPr>
            <w:tcW w:w="1100" w:type="dxa"/>
            <w:vAlign w:val="bottom"/>
            <w:shd w:val="clear" w:color="auto" w:fill="212322"/>
          </w:tcPr>
          <w:p>
            <w:pPr>
              <w:jc w:val="center"/>
              <w:ind w:left="13"/>
              <w:spacing w:after="0"/>
              <w:rPr>
                <w:sz w:val="20"/>
                <w:szCs w:val="20"/>
                <w:color w:val="auto"/>
              </w:rPr>
            </w:pPr>
            <w:r>
              <w:rPr>
                <w:rFonts w:ascii="Arial" w:cs="Arial" w:eastAsia="Arial" w:hAnsi="Arial"/>
                <w:sz w:val="13"/>
                <w:szCs w:val="13"/>
                <w:b w:val="1"/>
                <w:bCs w:val="1"/>
                <w:color w:val="FFFFFF"/>
              </w:rPr>
              <w:t>Compensation</w:t>
            </w:r>
          </w:p>
        </w:tc>
        <w:tc>
          <w:tcPr>
            <w:tcW w:w="840" w:type="dxa"/>
            <w:vAlign w:val="bottom"/>
            <w:shd w:val="clear" w:color="auto" w:fill="212322"/>
          </w:tcPr>
          <w:p>
            <w:pPr>
              <w:jc w:val="right"/>
              <w:ind w:right="153"/>
              <w:spacing w:after="0"/>
              <w:rPr>
                <w:sz w:val="20"/>
                <w:szCs w:val="20"/>
                <w:color w:val="auto"/>
              </w:rPr>
            </w:pPr>
            <w:r>
              <w:rPr>
                <w:rFonts w:ascii="Arial" w:cs="Arial" w:eastAsia="Arial" w:hAnsi="Arial"/>
                <w:sz w:val="13"/>
                <w:szCs w:val="13"/>
                <w:b w:val="1"/>
                <w:bCs w:val="1"/>
                <w:color w:val="FFFFFF"/>
              </w:rPr>
              <w:t>Total</w:t>
            </w:r>
          </w:p>
        </w:tc>
      </w:tr>
      <w:tr>
        <w:trPr>
          <w:trHeight w:val="162"/>
        </w:trPr>
        <w:tc>
          <w:tcPr>
            <w:tcW w:w="2740" w:type="dxa"/>
            <w:vAlign w:val="bottom"/>
            <w:tcBorders>
              <w:bottom w:val="single" w:sz="8" w:color="auto"/>
            </w:tcBorders>
            <w:shd w:val="clear" w:color="auto" w:fill="212322"/>
          </w:tcPr>
          <w:p>
            <w:pPr>
              <w:spacing w:after="0"/>
              <w:rPr>
                <w:sz w:val="20"/>
                <w:szCs w:val="20"/>
                <w:color w:val="auto"/>
              </w:rPr>
            </w:pPr>
            <w:r>
              <w:rPr>
                <w:rFonts w:ascii="Arial" w:cs="Arial" w:eastAsia="Arial" w:hAnsi="Arial"/>
                <w:sz w:val="13"/>
                <w:szCs w:val="13"/>
                <w:b w:val="1"/>
                <w:bCs w:val="1"/>
                <w:color w:val="FFFFFF"/>
              </w:rPr>
              <w:t>Name and Principal Position</w:t>
            </w:r>
          </w:p>
        </w:tc>
        <w:tc>
          <w:tcPr>
            <w:tcW w:w="660" w:type="dxa"/>
            <w:vAlign w:val="bottom"/>
            <w:tcBorders>
              <w:bottom w:val="single" w:sz="8" w:color="auto"/>
            </w:tcBorders>
            <w:shd w:val="clear" w:color="auto" w:fill="212322"/>
          </w:tcPr>
          <w:p>
            <w:pPr>
              <w:ind w:left="260"/>
              <w:spacing w:after="0"/>
              <w:rPr>
                <w:sz w:val="20"/>
                <w:szCs w:val="20"/>
                <w:color w:val="auto"/>
              </w:rPr>
            </w:pPr>
            <w:r>
              <w:rPr>
                <w:rFonts w:ascii="Arial" w:cs="Arial" w:eastAsia="Arial" w:hAnsi="Arial"/>
                <w:sz w:val="13"/>
                <w:szCs w:val="13"/>
                <w:b w:val="1"/>
                <w:bCs w:val="1"/>
                <w:color w:val="FFFFFF"/>
              </w:rPr>
              <w:t>Year</w:t>
            </w:r>
          </w:p>
        </w:tc>
        <w:tc>
          <w:tcPr>
            <w:tcW w:w="840" w:type="dxa"/>
            <w:vAlign w:val="bottom"/>
            <w:tcBorders>
              <w:bottom w:val="single" w:sz="8" w:color="auto"/>
            </w:tcBorders>
            <w:shd w:val="clear" w:color="auto" w:fill="212322"/>
          </w:tcPr>
          <w:p>
            <w:pPr>
              <w:jc w:val="right"/>
              <w:ind w:right="213"/>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auto"/>
            </w:tcBorders>
            <w:shd w:val="clear" w:color="auto" w:fill="212322"/>
          </w:tcPr>
          <w:p>
            <w:pPr>
              <w:ind w:left="280"/>
              <w:spacing w:after="0"/>
              <w:rPr>
                <w:sz w:val="20"/>
                <w:szCs w:val="20"/>
                <w:color w:val="auto"/>
              </w:rPr>
            </w:pPr>
            <w:r>
              <w:rPr>
                <w:rFonts w:ascii="Arial" w:cs="Arial" w:eastAsia="Arial" w:hAnsi="Arial"/>
                <w:sz w:val="13"/>
                <w:szCs w:val="13"/>
                <w:b w:val="1"/>
                <w:bCs w:val="1"/>
                <w:color w:val="FFFFFF"/>
              </w:rPr>
              <w:t>($)(1)</w:t>
            </w:r>
          </w:p>
        </w:tc>
        <w:tc>
          <w:tcPr>
            <w:tcW w:w="840" w:type="dxa"/>
            <w:vAlign w:val="bottom"/>
            <w:tcBorders>
              <w:bottom w:val="single" w:sz="8" w:color="auto"/>
            </w:tcBorders>
            <w:shd w:val="clear" w:color="auto" w:fill="212322"/>
          </w:tcPr>
          <w:p>
            <w:pPr>
              <w:jc w:val="center"/>
              <w:ind w:left="53"/>
              <w:spacing w:after="0"/>
              <w:rPr>
                <w:sz w:val="20"/>
                <w:szCs w:val="20"/>
                <w:color w:val="auto"/>
              </w:rPr>
            </w:pPr>
            <w:r>
              <w:rPr>
                <w:rFonts w:ascii="Arial" w:cs="Arial" w:eastAsia="Arial" w:hAnsi="Arial"/>
                <w:sz w:val="13"/>
                <w:szCs w:val="13"/>
                <w:b w:val="1"/>
                <w:bCs w:val="1"/>
                <w:color w:val="FFFFFF"/>
              </w:rPr>
              <w:t>($) (2)(3)</w:t>
            </w:r>
          </w:p>
        </w:tc>
        <w:tc>
          <w:tcPr>
            <w:tcW w:w="820" w:type="dxa"/>
            <w:vAlign w:val="bottom"/>
            <w:tcBorders>
              <w:bottom w:val="single" w:sz="8" w:color="auto"/>
            </w:tcBorders>
            <w:shd w:val="clear" w:color="auto" w:fill="212322"/>
          </w:tcPr>
          <w:p>
            <w:pPr>
              <w:jc w:val="center"/>
              <w:ind w:left="33"/>
              <w:spacing w:after="0"/>
              <w:rPr>
                <w:sz w:val="20"/>
                <w:szCs w:val="20"/>
                <w:color w:val="auto"/>
              </w:rPr>
            </w:pPr>
            <w:r>
              <w:rPr>
                <w:rFonts w:ascii="Arial" w:cs="Arial" w:eastAsia="Arial" w:hAnsi="Arial"/>
                <w:sz w:val="13"/>
                <w:szCs w:val="13"/>
                <w:b w:val="1"/>
                <w:bCs w:val="1"/>
                <w:color w:val="FFFFFF"/>
              </w:rPr>
              <w:t>($) (3)</w:t>
            </w:r>
          </w:p>
        </w:tc>
        <w:tc>
          <w:tcPr>
            <w:tcW w:w="1100" w:type="dxa"/>
            <w:vAlign w:val="bottom"/>
            <w:tcBorders>
              <w:bottom w:val="single" w:sz="8" w:color="auto"/>
            </w:tcBorders>
            <w:shd w:val="clear" w:color="auto" w:fill="212322"/>
          </w:tcPr>
          <w:p>
            <w:pPr>
              <w:jc w:val="center"/>
              <w:ind w:left="33"/>
              <w:spacing w:after="0"/>
              <w:rPr>
                <w:sz w:val="20"/>
                <w:szCs w:val="20"/>
                <w:color w:val="auto"/>
              </w:rPr>
            </w:pPr>
            <w:r>
              <w:rPr>
                <w:rFonts w:ascii="Arial" w:cs="Arial" w:eastAsia="Arial" w:hAnsi="Arial"/>
                <w:sz w:val="13"/>
                <w:szCs w:val="13"/>
                <w:b w:val="1"/>
                <w:bCs w:val="1"/>
                <w:color w:val="FFFFFF"/>
              </w:rPr>
              <w:t>($) (4)</w:t>
            </w:r>
          </w:p>
        </w:tc>
        <w:tc>
          <w:tcPr>
            <w:tcW w:w="1100" w:type="dxa"/>
            <w:vAlign w:val="bottom"/>
            <w:tcBorders>
              <w:bottom w:val="single" w:sz="8" w:color="auto"/>
            </w:tcBorders>
            <w:shd w:val="clear" w:color="auto" w:fill="212322"/>
          </w:tcPr>
          <w:p>
            <w:pPr>
              <w:jc w:val="center"/>
              <w:ind w:left="13"/>
              <w:spacing w:after="0"/>
              <w:rPr>
                <w:sz w:val="20"/>
                <w:szCs w:val="20"/>
                <w:color w:val="auto"/>
              </w:rPr>
            </w:pPr>
            <w:r>
              <w:rPr>
                <w:rFonts w:ascii="Arial" w:cs="Arial" w:eastAsia="Arial" w:hAnsi="Arial"/>
                <w:sz w:val="13"/>
                <w:szCs w:val="13"/>
                <w:b w:val="1"/>
                <w:bCs w:val="1"/>
                <w:color w:val="FFFFFF"/>
              </w:rPr>
              <w:t>($) (5)</w:t>
            </w:r>
          </w:p>
        </w:tc>
        <w:tc>
          <w:tcPr>
            <w:tcW w:w="840" w:type="dxa"/>
            <w:vAlign w:val="bottom"/>
            <w:tcBorders>
              <w:bottom w:val="single" w:sz="8" w:color="auto"/>
            </w:tcBorders>
            <w:shd w:val="clear" w:color="auto" w:fill="212322"/>
          </w:tcPr>
          <w:p>
            <w:pPr>
              <w:jc w:val="right"/>
              <w:ind w:right="213"/>
              <w:spacing w:after="0"/>
              <w:rPr>
                <w:sz w:val="20"/>
                <w:szCs w:val="20"/>
                <w:color w:val="auto"/>
              </w:rPr>
            </w:pPr>
            <w:r>
              <w:rPr>
                <w:rFonts w:ascii="Arial" w:cs="Arial" w:eastAsia="Arial" w:hAnsi="Arial"/>
                <w:sz w:val="13"/>
                <w:szCs w:val="13"/>
                <w:b w:val="1"/>
                <w:bCs w:val="1"/>
                <w:color w:val="FFFFFF"/>
              </w:rPr>
              <w:t>($)</w:t>
            </w:r>
          </w:p>
        </w:tc>
      </w:tr>
      <w:tr>
        <w:trPr>
          <w:trHeight w:val="313"/>
        </w:trPr>
        <w:tc>
          <w:tcPr>
            <w:tcW w:w="2740" w:type="dxa"/>
            <w:vAlign w:val="bottom"/>
          </w:tcPr>
          <w:p>
            <w:pPr>
              <w:spacing w:after="0"/>
              <w:rPr>
                <w:sz w:val="20"/>
                <w:szCs w:val="20"/>
                <w:color w:val="auto"/>
              </w:rPr>
            </w:pPr>
            <w:r>
              <w:rPr>
                <w:rFonts w:ascii="Arial" w:cs="Arial" w:eastAsia="Arial" w:hAnsi="Arial"/>
                <w:sz w:val="13"/>
                <w:szCs w:val="13"/>
                <w:b w:val="1"/>
                <w:bCs w:val="1"/>
                <w:color w:val="F37F00"/>
              </w:rPr>
              <w:t>Philip B. Daniele, III</w:t>
            </w:r>
          </w:p>
        </w:tc>
        <w:tc>
          <w:tcPr>
            <w:tcW w:w="660" w:type="dxa"/>
            <w:vAlign w:val="bottom"/>
          </w:tcPr>
          <w:p>
            <w:pPr>
              <w:ind w:left="260"/>
              <w:spacing w:after="0"/>
              <w:rPr>
                <w:sz w:val="20"/>
                <w:szCs w:val="20"/>
                <w:color w:val="auto"/>
              </w:rPr>
            </w:pPr>
            <w:r>
              <w:rPr>
                <w:rFonts w:ascii="Arial" w:cs="Arial" w:eastAsia="Arial" w:hAnsi="Arial"/>
                <w:sz w:val="13"/>
                <w:szCs w:val="13"/>
                <w:color w:val="202124"/>
              </w:rPr>
              <w:t>2026</w:t>
            </w:r>
          </w:p>
        </w:tc>
        <w:tc>
          <w:tcPr>
            <w:tcW w:w="840" w:type="dxa"/>
            <w:vAlign w:val="bottom"/>
          </w:tcPr>
          <w:p>
            <w:pPr>
              <w:jc w:val="right"/>
              <w:spacing w:after="0"/>
              <w:rPr>
                <w:sz w:val="20"/>
                <w:szCs w:val="20"/>
                <w:color w:val="auto"/>
              </w:rPr>
            </w:pPr>
            <w:r>
              <w:rPr>
                <w:rFonts w:ascii="Arial" w:cs="Arial" w:eastAsia="Arial" w:hAnsi="Arial"/>
                <w:sz w:val="13"/>
                <w:szCs w:val="13"/>
                <w:color w:val="202124"/>
              </w:rPr>
              <w:t>1,169,231</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17,829</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8,276,763</w:t>
            </w:r>
          </w:p>
        </w:tc>
        <w:tc>
          <w:tcPr>
            <w:tcW w:w="1100" w:type="dxa"/>
            <w:vAlign w:val="bottom"/>
          </w:tcPr>
          <w:p>
            <w:pPr>
              <w:jc w:val="right"/>
              <w:spacing w:after="0"/>
              <w:rPr>
                <w:sz w:val="20"/>
                <w:szCs w:val="20"/>
                <w:color w:val="auto"/>
              </w:rPr>
            </w:pPr>
            <w:r>
              <w:rPr>
                <w:rFonts w:ascii="Arial" w:cs="Arial" w:eastAsia="Arial" w:hAnsi="Arial"/>
                <w:sz w:val="13"/>
                <w:szCs w:val="13"/>
                <w:color w:val="202124"/>
              </w:rPr>
              <w:t>1,607,097</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166,044</w:t>
            </w:r>
          </w:p>
        </w:tc>
        <w:tc>
          <w:tcPr>
            <w:tcW w:w="840" w:type="dxa"/>
            <w:vAlign w:val="bottom"/>
          </w:tcPr>
          <w:p>
            <w:pPr>
              <w:jc w:val="right"/>
              <w:spacing w:after="0"/>
              <w:rPr>
                <w:sz w:val="20"/>
                <w:szCs w:val="20"/>
                <w:color w:val="auto"/>
              </w:rPr>
            </w:pPr>
            <w:r>
              <w:rPr>
                <w:rFonts w:ascii="Arial" w:cs="Arial" w:eastAsia="Arial" w:hAnsi="Arial"/>
                <w:sz w:val="13"/>
                <w:szCs w:val="13"/>
                <w:color w:val="202124"/>
              </w:rPr>
              <w:t>11,236,964</w:t>
            </w:r>
          </w:p>
        </w:tc>
      </w:tr>
      <w:tr>
        <w:trPr>
          <w:trHeight w:val="289"/>
        </w:trPr>
        <w:tc>
          <w:tcPr>
            <w:tcW w:w="2740" w:type="dxa"/>
            <w:vAlign w:val="bottom"/>
          </w:tcPr>
          <w:p>
            <w:pPr>
              <w:ind w:left="120"/>
              <w:spacing w:after="0"/>
              <w:rPr>
                <w:sz w:val="20"/>
                <w:szCs w:val="20"/>
                <w:color w:val="auto"/>
              </w:rPr>
            </w:pPr>
            <w:r>
              <w:rPr>
                <w:rFonts w:ascii="Arial" w:cs="Arial" w:eastAsia="Arial" w:hAnsi="Arial"/>
                <w:sz w:val="13"/>
                <w:szCs w:val="13"/>
                <w:color w:val="202124"/>
              </w:rPr>
              <w:t>President &amp; Chief Executive Officer</w:t>
            </w:r>
          </w:p>
        </w:tc>
        <w:tc>
          <w:tcPr>
            <w:tcW w:w="660" w:type="dxa"/>
            <w:vAlign w:val="bottom"/>
          </w:tcPr>
          <w:p>
            <w:pPr>
              <w:ind w:left="260"/>
              <w:spacing w:after="0"/>
              <w:rPr>
                <w:sz w:val="20"/>
                <w:szCs w:val="20"/>
                <w:color w:val="auto"/>
              </w:rPr>
            </w:pPr>
            <w:r>
              <w:rPr>
                <w:rFonts w:ascii="Arial" w:cs="Arial" w:eastAsia="Arial" w:hAnsi="Arial"/>
                <w:sz w:val="13"/>
                <w:szCs w:val="13"/>
                <w:color w:val="202124"/>
              </w:rPr>
              <w:t>2025</w:t>
            </w:r>
          </w:p>
        </w:tc>
        <w:tc>
          <w:tcPr>
            <w:tcW w:w="840" w:type="dxa"/>
            <w:vAlign w:val="bottom"/>
          </w:tcPr>
          <w:p>
            <w:pPr>
              <w:jc w:val="right"/>
              <w:spacing w:after="0"/>
              <w:rPr>
                <w:sz w:val="20"/>
                <w:szCs w:val="20"/>
                <w:color w:val="auto"/>
              </w:rPr>
            </w:pPr>
            <w:r>
              <w:rPr>
                <w:rFonts w:ascii="Arial" w:cs="Arial" w:eastAsia="Arial" w:hAnsi="Arial"/>
                <w:sz w:val="13"/>
                <w:szCs w:val="13"/>
                <w:color w:val="202124"/>
              </w:rPr>
              <w:t>1,000,000</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27,754</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7,198,789</w:t>
            </w:r>
          </w:p>
        </w:tc>
        <w:tc>
          <w:tcPr>
            <w:tcW w:w="1100" w:type="dxa"/>
            <w:vAlign w:val="bottom"/>
          </w:tcPr>
          <w:p>
            <w:pPr>
              <w:jc w:val="right"/>
              <w:spacing w:after="0"/>
              <w:rPr>
                <w:sz w:val="20"/>
                <w:szCs w:val="20"/>
                <w:color w:val="auto"/>
              </w:rPr>
            </w:pPr>
            <w:r>
              <w:rPr>
                <w:rFonts w:ascii="Arial" w:cs="Arial" w:eastAsia="Arial" w:hAnsi="Arial"/>
                <w:sz w:val="13"/>
                <w:szCs w:val="13"/>
                <w:color w:val="202124"/>
              </w:rPr>
              <w:t>1,257,751</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152,120</w:t>
            </w:r>
          </w:p>
        </w:tc>
        <w:tc>
          <w:tcPr>
            <w:tcW w:w="840" w:type="dxa"/>
            <w:vAlign w:val="bottom"/>
          </w:tcPr>
          <w:p>
            <w:pPr>
              <w:jc w:val="right"/>
              <w:spacing w:after="0"/>
              <w:rPr>
                <w:sz w:val="20"/>
                <w:szCs w:val="20"/>
                <w:color w:val="auto"/>
              </w:rPr>
            </w:pPr>
            <w:r>
              <w:rPr>
                <w:rFonts w:ascii="Arial" w:cs="Arial" w:eastAsia="Arial" w:hAnsi="Arial"/>
                <w:sz w:val="13"/>
                <w:szCs w:val="13"/>
                <w:color w:val="202124"/>
              </w:rPr>
              <w:t>9,636,414</w:t>
            </w:r>
          </w:p>
        </w:tc>
      </w:tr>
      <w:tr>
        <w:trPr>
          <w:trHeight w:val="282"/>
        </w:trPr>
        <w:tc>
          <w:tcPr>
            <w:tcW w:w="2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202124"/>
              </w:rPr>
              <w:t>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855,000</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20212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25,022</w:t>
            </w:r>
          </w:p>
        </w:tc>
        <w:tc>
          <w:tcPr>
            <w:tcW w:w="82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202124"/>
              </w:rPr>
              <w:t>7,199,838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1,002,363</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202124"/>
              </w:rPr>
              <w:t>116,242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9,198,465</w:t>
            </w:r>
          </w:p>
        </w:tc>
      </w:tr>
      <w:tr>
        <w:trPr>
          <w:trHeight w:val="396"/>
        </w:trPr>
        <w:tc>
          <w:tcPr>
            <w:tcW w:w="2740" w:type="dxa"/>
            <w:vAlign w:val="bottom"/>
          </w:tcPr>
          <w:p>
            <w:pPr>
              <w:spacing w:after="0"/>
              <w:rPr>
                <w:sz w:val="20"/>
                <w:szCs w:val="20"/>
                <w:color w:val="auto"/>
              </w:rPr>
            </w:pPr>
            <w:r>
              <w:rPr>
                <w:rFonts w:ascii="Arial" w:cs="Arial" w:eastAsia="Arial" w:hAnsi="Arial"/>
                <w:sz w:val="13"/>
                <w:szCs w:val="13"/>
                <w:b w:val="1"/>
                <w:bCs w:val="1"/>
                <w:color w:val="F37F00"/>
              </w:rPr>
              <w:t xml:space="preserve">Jamere Jackson </w:t>
            </w:r>
            <w:r>
              <w:rPr>
                <w:rFonts w:ascii="Arial" w:cs="Arial" w:eastAsia="Arial" w:hAnsi="Arial"/>
                <w:sz w:val="20"/>
                <w:szCs w:val="20"/>
                <w:b w:val="1"/>
                <w:bCs w:val="1"/>
                <w:color w:val="F37F00"/>
                <w:vertAlign w:val="superscript"/>
              </w:rPr>
              <w:t>(6)</w:t>
            </w:r>
          </w:p>
        </w:tc>
        <w:tc>
          <w:tcPr>
            <w:tcW w:w="660" w:type="dxa"/>
            <w:vAlign w:val="bottom"/>
          </w:tcPr>
          <w:p>
            <w:pPr>
              <w:ind w:left="260"/>
              <w:spacing w:after="0"/>
              <w:rPr>
                <w:sz w:val="20"/>
                <w:szCs w:val="20"/>
                <w:color w:val="auto"/>
              </w:rPr>
            </w:pPr>
            <w:r>
              <w:rPr>
                <w:rFonts w:ascii="Arial" w:cs="Arial" w:eastAsia="Arial" w:hAnsi="Arial"/>
                <w:sz w:val="13"/>
                <w:szCs w:val="13"/>
                <w:color w:val="202124"/>
              </w:rPr>
              <w:t>2026</w:t>
            </w:r>
          </w:p>
        </w:tc>
        <w:tc>
          <w:tcPr>
            <w:tcW w:w="840" w:type="dxa"/>
            <w:vAlign w:val="bottom"/>
          </w:tcPr>
          <w:p>
            <w:pPr>
              <w:jc w:val="right"/>
              <w:spacing w:after="0"/>
              <w:rPr>
                <w:sz w:val="20"/>
                <w:szCs w:val="20"/>
                <w:color w:val="auto"/>
              </w:rPr>
            </w:pPr>
            <w:r>
              <w:rPr>
                <w:rFonts w:ascii="Arial" w:cs="Arial" w:eastAsia="Arial" w:hAnsi="Arial"/>
                <w:sz w:val="13"/>
                <w:szCs w:val="13"/>
                <w:color w:val="202124"/>
              </w:rPr>
              <w:t>823,539</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5,909,820</w:t>
            </w:r>
          </w:p>
        </w:tc>
        <w:tc>
          <w:tcPr>
            <w:tcW w:w="1100" w:type="dxa"/>
            <w:vAlign w:val="bottom"/>
          </w:tcPr>
          <w:p>
            <w:pPr>
              <w:jc w:val="right"/>
              <w:spacing w:after="0"/>
              <w:rPr>
                <w:sz w:val="20"/>
                <w:szCs w:val="20"/>
                <w:color w:val="auto"/>
              </w:rPr>
            </w:pPr>
            <w:r>
              <w:rPr>
                <w:rFonts w:ascii="Arial" w:cs="Arial" w:eastAsia="Arial" w:hAnsi="Arial"/>
                <w:sz w:val="13"/>
                <w:szCs w:val="13"/>
                <w:color w:val="202124"/>
              </w:rPr>
              <w:t>870,728</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106,331</w:t>
            </w:r>
          </w:p>
        </w:tc>
        <w:tc>
          <w:tcPr>
            <w:tcW w:w="840" w:type="dxa"/>
            <w:vAlign w:val="bottom"/>
          </w:tcPr>
          <w:p>
            <w:pPr>
              <w:jc w:val="right"/>
              <w:spacing w:after="0"/>
              <w:rPr>
                <w:sz w:val="20"/>
                <w:szCs w:val="20"/>
                <w:color w:val="auto"/>
              </w:rPr>
            </w:pPr>
            <w:r>
              <w:rPr>
                <w:rFonts w:ascii="Arial" w:cs="Arial" w:eastAsia="Arial" w:hAnsi="Arial"/>
                <w:sz w:val="13"/>
                <w:szCs w:val="13"/>
                <w:color w:val="202124"/>
              </w:rPr>
              <w:t>7,710,418</w:t>
            </w:r>
          </w:p>
        </w:tc>
      </w:tr>
      <w:tr>
        <w:trPr>
          <w:trHeight w:val="206"/>
        </w:trPr>
        <w:tc>
          <w:tcPr>
            <w:tcW w:w="2740" w:type="dxa"/>
            <w:vAlign w:val="bottom"/>
          </w:tcPr>
          <w:p>
            <w:pPr>
              <w:ind w:left="120"/>
              <w:spacing w:after="0"/>
              <w:rPr>
                <w:sz w:val="20"/>
                <w:szCs w:val="20"/>
                <w:color w:val="auto"/>
              </w:rPr>
            </w:pPr>
            <w:r>
              <w:rPr>
                <w:rFonts w:ascii="Arial" w:cs="Arial" w:eastAsia="Arial" w:hAnsi="Arial"/>
                <w:sz w:val="13"/>
                <w:szCs w:val="13"/>
                <w:color w:val="202124"/>
              </w:rPr>
              <w:t>Chief Financial Officer</w:t>
            </w:r>
          </w:p>
        </w:tc>
        <w:tc>
          <w:tcPr>
            <w:tcW w:w="660" w:type="dxa"/>
            <w:vAlign w:val="bottom"/>
          </w:tcPr>
          <w:p>
            <w:pPr>
              <w:ind w:left="260"/>
              <w:spacing w:after="0"/>
              <w:rPr>
                <w:sz w:val="20"/>
                <w:szCs w:val="20"/>
                <w:color w:val="auto"/>
              </w:rPr>
            </w:pPr>
            <w:r>
              <w:rPr>
                <w:rFonts w:ascii="Arial" w:cs="Arial" w:eastAsia="Arial" w:hAnsi="Arial"/>
                <w:sz w:val="13"/>
                <w:szCs w:val="13"/>
                <w:color w:val="202124"/>
              </w:rPr>
              <w:t>2025</w:t>
            </w:r>
          </w:p>
        </w:tc>
        <w:tc>
          <w:tcPr>
            <w:tcW w:w="840" w:type="dxa"/>
            <w:vAlign w:val="bottom"/>
          </w:tcPr>
          <w:p>
            <w:pPr>
              <w:jc w:val="right"/>
              <w:spacing w:after="0"/>
              <w:rPr>
                <w:sz w:val="20"/>
                <w:szCs w:val="20"/>
                <w:color w:val="auto"/>
              </w:rPr>
            </w:pPr>
            <w:r>
              <w:rPr>
                <w:rFonts w:ascii="Arial" w:cs="Arial" w:eastAsia="Arial" w:hAnsi="Arial"/>
                <w:sz w:val="13"/>
                <w:szCs w:val="13"/>
                <w:color w:val="202124"/>
              </w:rPr>
              <w:t>808,462</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5,200,014</w:t>
            </w:r>
          </w:p>
        </w:tc>
        <w:tc>
          <w:tcPr>
            <w:tcW w:w="1100" w:type="dxa"/>
            <w:vAlign w:val="bottom"/>
          </w:tcPr>
          <w:p>
            <w:pPr>
              <w:jc w:val="right"/>
              <w:spacing w:after="0"/>
              <w:rPr>
                <w:sz w:val="20"/>
                <w:szCs w:val="20"/>
                <w:color w:val="auto"/>
              </w:rPr>
            </w:pPr>
            <w:r>
              <w:rPr>
                <w:rFonts w:ascii="Arial" w:cs="Arial" w:eastAsia="Arial" w:hAnsi="Arial"/>
                <w:sz w:val="13"/>
                <w:szCs w:val="13"/>
                <w:color w:val="202124"/>
              </w:rPr>
              <w:t>782,187</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101,743</w:t>
            </w:r>
          </w:p>
        </w:tc>
        <w:tc>
          <w:tcPr>
            <w:tcW w:w="840" w:type="dxa"/>
            <w:vAlign w:val="bottom"/>
          </w:tcPr>
          <w:p>
            <w:pPr>
              <w:jc w:val="right"/>
              <w:spacing w:after="0"/>
              <w:rPr>
                <w:sz w:val="20"/>
                <w:szCs w:val="20"/>
                <w:color w:val="auto"/>
              </w:rPr>
            </w:pPr>
            <w:r>
              <w:rPr>
                <w:rFonts w:ascii="Arial" w:cs="Arial" w:eastAsia="Arial" w:hAnsi="Arial"/>
                <w:sz w:val="13"/>
                <w:szCs w:val="13"/>
                <w:color w:val="202124"/>
              </w:rPr>
              <w:t>6,892,406</w:t>
            </w:r>
          </w:p>
        </w:tc>
      </w:tr>
      <w:tr>
        <w:trPr>
          <w:trHeight w:val="282"/>
        </w:trPr>
        <w:tc>
          <w:tcPr>
            <w:tcW w:w="2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202124"/>
              </w:rPr>
              <w:t>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804,769</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20212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8,135</w:t>
            </w:r>
          </w:p>
        </w:tc>
        <w:tc>
          <w:tcPr>
            <w:tcW w:w="82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202124"/>
              </w:rPr>
              <w:t>5,200,028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771,295</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202124"/>
              </w:rPr>
              <w:t>93,383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6,877,610</w:t>
            </w:r>
          </w:p>
        </w:tc>
      </w:tr>
      <w:tr>
        <w:trPr>
          <w:trHeight w:val="314"/>
        </w:trPr>
        <w:tc>
          <w:tcPr>
            <w:tcW w:w="2740" w:type="dxa"/>
            <w:vAlign w:val="bottom"/>
          </w:tcPr>
          <w:p>
            <w:pPr>
              <w:spacing w:after="0"/>
              <w:rPr>
                <w:sz w:val="20"/>
                <w:szCs w:val="20"/>
                <w:color w:val="auto"/>
              </w:rPr>
            </w:pPr>
            <w:r>
              <w:rPr>
                <w:rFonts w:ascii="Arial" w:cs="Arial" w:eastAsia="Arial" w:hAnsi="Arial"/>
                <w:sz w:val="13"/>
                <w:szCs w:val="13"/>
                <w:b w:val="1"/>
                <w:bCs w:val="1"/>
                <w:color w:val="F37F00"/>
              </w:rPr>
              <w:t>Thomas B. Newbern</w:t>
            </w:r>
          </w:p>
        </w:tc>
        <w:tc>
          <w:tcPr>
            <w:tcW w:w="660" w:type="dxa"/>
            <w:vAlign w:val="bottom"/>
          </w:tcPr>
          <w:p>
            <w:pPr>
              <w:ind w:left="260"/>
              <w:spacing w:after="0"/>
              <w:rPr>
                <w:sz w:val="20"/>
                <w:szCs w:val="20"/>
                <w:color w:val="auto"/>
              </w:rPr>
            </w:pPr>
            <w:r>
              <w:rPr>
                <w:rFonts w:ascii="Arial" w:cs="Arial" w:eastAsia="Arial" w:hAnsi="Arial"/>
                <w:sz w:val="13"/>
                <w:szCs w:val="13"/>
                <w:color w:val="202124"/>
              </w:rPr>
              <w:t>2026</w:t>
            </w:r>
          </w:p>
        </w:tc>
        <w:tc>
          <w:tcPr>
            <w:tcW w:w="840" w:type="dxa"/>
            <w:vAlign w:val="bottom"/>
          </w:tcPr>
          <w:p>
            <w:pPr>
              <w:jc w:val="right"/>
              <w:spacing w:after="0"/>
              <w:rPr>
                <w:sz w:val="20"/>
                <w:szCs w:val="20"/>
                <w:color w:val="auto"/>
              </w:rPr>
            </w:pPr>
            <w:r>
              <w:rPr>
                <w:rFonts w:ascii="Arial" w:cs="Arial" w:eastAsia="Arial" w:hAnsi="Arial"/>
                <w:sz w:val="13"/>
                <w:szCs w:val="13"/>
                <w:color w:val="202124"/>
              </w:rPr>
              <w:t>823,539</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5,909,820</w:t>
            </w:r>
          </w:p>
        </w:tc>
        <w:tc>
          <w:tcPr>
            <w:tcW w:w="1100" w:type="dxa"/>
            <w:vAlign w:val="bottom"/>
          </w:tcPr>
          <w:p>
            <w:pPr>
              <w:jc w:val="right"/>
              <w:spacing w:after="0"/>
              <w:rPr>
                <w:sz w:val="20"/>
                <w:szCs w:val="20"/>
                <w:color w:val="auto"/>
              </w:rPr>
            </w:pPr>
            <w:r>
              <w:rPr>
                <w:rFonts w:ascii="Arial" w:cs="Arial" w:eastAsia="Arial" w:hAnsi="Arial"/>
                <w:sz w:val="13"/>
                <w:szCs w:val="13"/>
                <w:color w:val="202124"/>
              </w:rPr>
              <w:t>870,728</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106,589</w:t>
            </w:r>
          </w:p>
        </w:tc>
        <w:tc>
          <w:tcPr>
            <w:tcW w:w="840" w:type="dxa"/>
            <w:vAlign w:val="bottom"/>
          </w:tcPr>
          <w:p>
            <w:pPr>
              <w:jc w:val="right"/>
              <w:spacing w:after="0"/>
              <w:rPr>
                <w:sz w:val="20"/>
                <w:szCs w:val="20"/>
                <w:color w:val="auto"/>
              </w:rPr>
            </w:pPr>
            <w:r>
              <w:rPr>
                <w:rFonts w:ascii="Arial" w:cs="Arial" w:eastAsia="Arial" w:hAnsi="Arial"/>
                <w:sz w:val="13"/>
                <w:szCs w:val="13"/>
                <w:color w:val="202124"/>
              </w:rPr>
              <w:t>7,710,676</w:t>
            </w:r>
          </w:p>
        </w:tc>
      </w:tr>
      <w:tr>
        <w:trPr>
          <w:trHeight w:val="289"/>
        </w:trPr>
        <w:tc>
          <w:tcPr>
            <w:tcW w:w="2740" w:type="dxa"/>
            <w:vAlign w:val="bottom"/>
          </w:tcPr>
          <w:p>
            <w:pPr>
              <w:ind w:left="120"/>
              <w:spacing w:after="0"/>
              <w:rPr>
                <w:sz w:val="20"/>
                <w:szCs w:val="20"/>
                <w:color w:val="auto"/>
              </w:rPr>
            </w:pPr>
            <w:r>
              <w:rPr>
                <w:rFonts w:ascii="Arial" w:cs="Arial" w:eastAsia="Arial" w:hAnsi="Arial"/>
                <w:sz w:val="13"/>
                <w:szCs w:val="13"/>
                <w:color w:val="202124"/>
              </w:rPr>
              <w:t>Chief Operating Officer</w:t>
            </w:r>
          </w:p>
        </w:tc>
        <w:tc>
          <w:tcPr>
            <w:tcW w:w="660" w:type="dxa"/>
            <w:vAlign w:val="bottom"/>
          </w:tcPr>
          <w:p>
            <w:pPr>
              <w:ind w:left="260"/>
              <w:spacing w:after="0"/>
              <w:rPr>
                <w:sz w:val="20"/>
                <w:szCs w:val="20"/>
                <w:color w:val="auto"/>
              </w:rPr>
            </w:pPr>
            <w:r>
              <w:rPr>
                <w:rFonts w:ascii="Arial" w:cs="Arial" w:eastAsia="Arial" w:hAnsi="Arial"/>
                <w:sz w:val="13"/>
                <w:szCs w:val="13"/>
                <w:color w:val="202124"/>
              </w:rPr>
              <w:t>2025</w:t>
            </w:r>
          </w:p>
        </w:tc>
        <w:tc>
          <w:tcPr>
            <w:tcW w:w="840" w:type="dxa"/>
            <w:vAlign w:val="bottom"/>
          </w:tcPr>
          <w:p>
            <w:pPr>
              <w:jc w:val="right"/>
              <w:spacing w:after="0"/>
              <w:rPr>
                <w:sz w:val="20"/>
                <w:szCs w:val="20"/>
                <w:color w:val="auto"/>
              </w:rPr>
            </w:pPr>
            <w:r>
              <w:rPr>
                <w:rFonts w:ascii="Arial" w:cs="Arial" w:eastAsia="Arial" w:hAnsi="Arial"/>
                <w:sz w:val="13"/>
                <w:szCs w:val="13"/>
                <w:color w:val="202124"/>
              </w:rPr>
              <w:t>808,462</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5,200,014</w:t>
            </w:r>
          </w:p>
        </w:tc>
        <w:tc>
          <w:tcPr>
            <w:tcW w:w="1100" w:type="dxa"/>
            <w:vAlign w:val="bottom"/>
          </w:tcPr>
          <w:p>
            <w:pPr>
              <w:jc w:val="right"/>
              <w:spacing w:after="0"/>
              <w:rPr>
                <w:sz w:val="20"/>
                <w:szCs w:val="20"/>
                <w:color w:val="auto"/>
              </w:rPr>
            </w:pPr>
            <w:r>
              <w:rPr>
                <w:rFonts w:ascii="Arial" w:cs="Arial" w:eastAsia="Arial" w:hAnsi="Arial"/>
                <w:sz w:val="13"/>
                <w:szCs w:val="13"/>
                <w:color w:val="202124"/>
              </w:rPr>
              <w:t>782,187</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99,836</w:t>
            </w:r>
          </w:p>
        </w:tc>
        <w:tc>
          <w:tcPr>
            <w:tcW w:w="840" w:type="dxa"/>
            <w:vAlign w:val="bottom"/>
          </w:tcPr>
          <w:p>
            <w:pPr>
              <w:jc w:val="right"/>
              <w:spacing w:after="0"/>
              <w:rPr>
                <w:sz w:val="20"/>
                <w:szCs w:val="20"/>
                <w:color w:val="auto"/>
              </w:rPr>
            </w:pPr>
            <w:r>
              <w:rPr>
                <w:rFonts w:ascii="Arial" w:cs="Arial" w:eastAsia="Arial" w:hAnsi="Arial"/>
                <w:sz w:val="13"/>
                <w:szCs w:val="13"/>
                <w:color w:val="202124"/>
              </w:rPr>
              <w:t>6,890,499</w:t>
            </w:r>
          </w:p>
        </w:tc>
      </w:tr>
      <w:tr>
        <w:trPr>
          <w:trHeight w:val="282"/>
        </w:trPr>
        <w:tc>
          <w:tcPr>
            <w:tcW w:w="2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202124"/>
              </w:rPr>
              <w:t>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790,923</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20212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w:t>
            </w:r>
          </w:p>
        </w:tc>
        <w:tc>
          <w:tcPr>
            <w:tcW w:w="82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202124"/>
              </w:rPr>
              <w:t>5,200,028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760,982</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202124"/>
              </w:rPr>
              <w:t>82,624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6,834,557</w:t>
            </w:r>
          </w:p>
        </w:tc>
      </w:tr>
      <w:tr>
        <w:trPr>
          <w:trHeight w:val="305"/>
        </w:trPr>
        <w:tc>
          <w:tcPr>
            <w:tcW w:w="2740" w:type="dxa"/>
            <w:vAlign w:val="bottom"/>
          </w:tcPr>
          <w:p>
            <w:pPr>
              <w:spacing w:after="0"/>
              <w:rPr>
                <w:sz w:val="20"/>
                <w:szCs w:val="20"/>
                <w:color w:val="auto"/>
              </w:rPr>
            </w:pPr>
            <w:r>
              <w:rPr>
                <w:rFonts w:ascii="Arial" w:cs="Arial" w:eastAsia="Arial" w:hAnsi="Arial"/>
                <w:sz w:val="13"/>
                <w:szCs w:val="13"/>
                <w:b w:val="1"/>
                <w:bCs w:val="1"/>
                <w:color w:val="F37F00"/>
              </w:rPr>
              <w:t>Eric S. Gould</w:t>
            </w:r>
          </w:p>
        </w:tc>
        <w:tc>
          <w:tcPr>
            <w:tcW w:w="660" w:type="dxa"/>
            <w:vAlign w:val="bottom"/>
          </w:tcPr>
          <w:p>
            <w:pPr>
              <w:ind w:left="260"/>
              <w:spacing w:after="0"/>
              <w:rPr>
                <w:sz w:val="20"/>
                <w:szCs w:val="20"/>
                <w:color w:val="auto"/>
              </w:rPr>
            </w:pPr>
            <w:r>
              <w:rPr>
                <w:rFonts w:ascii="Arial" w:cs="Arial" w:eastAsia="Arial" w:hAnsi="Arial"/>
                <w:sz w:val="13"/>
                <w:szCs w:val="13"/>
                <w:color w:val="202124"/>
              </w:rPr>
              <w:t>2026</w:t>
            </w:r>
          </w:p>
        </w:tc>
        <w:tc>
          <w:tcPr>
            <w:tcW w:w="840" w:type="dxa"/>
            <w:vAlign w:val="bottom"/>
          </w:tcPr>
          <w:p>
            <w:pPr>
              <w:jc w:val="right"/>
              <w:spacing w:after="0"/>
              <w:rPr>
                <w:sz w:val="20"/>
                <w:szCs w:val="20"/>
                <w:color w:val="auto"/>
              </w:rPr>
            </w:pPr>
            <w:r>
              <w:rPr>
                <w:rFonts w:ascii="Arial" w:cs="Arial" w:eastAsia="Arial" w:hAnsi="Arial"/>
                <w:sz w:val="13"/>
                <w:szCs w:val="13"/>
                <w:color w:val="202124"/>
              </w:rPr>
              <w:t>520,000</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4,933,364</w:t>
            </w:r>
          </w:p>
        </w:tc>
        <w:tc>
          <w:tcPr>
            <w:tcW w:w="1100" w:type="dxa"/>
            <w:vAlign w:val="bottom"/>
          </w:tcPr>
          <w:p>
            <w:pPr>
              <w:jc w:val="right"/>
              <w:spacing w:after="0"/>
              <w:rPr>
                <w:sz w:val="20"/>
                <w:szCs w:val="20"/>
                <w:color w:val="auto"/>
              </w:rPr>
            </w:pPr>
            <w:r>
              <w:rPr>
                <w:rFonts w:ascii="Arial" w:cs="Arial" w:eastAsia="Arial" w:hAnsi="Arial"/>
                <w:sz w:val="13"/>
                <w:szCs w:val="13"/>
                <w:color w:val="202124"/>
              </w:rPr>
              <w:t>412,347</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48,826</w:t>
            </w:r>
          </w:p>
        </w:tc>
        <w:tc>
          <w:tcPr>
            <w:tcW w:w="840" w:type="dxa"/>
            <w:vAlign w:val="bottom"/>
          </w:tcPr>
          <w:p>
            <w:pPr>
              <w:jc w:val="right"/>
              <w:spacing w:after="0"/>
              <w:rPr>
                <w:sz w:val="20"/>
                <w:szCs w:val="20"/>
                <w:color w:val="auto"/>
              </w:rPr>
            </w:pPr>
            <w:r>
              <w:rPr>
                <w:rFonts w:ascii="Arial" w:cs="Arial" w:eastAsia="Arial" w:hAnsi="Arial"/>
                <w:sz w:val="13"/>
                <w:szCs w:val="13"/>
                <w:color w:val="202124"/>
              </w:rPr>
              <w:t>5,914,537</w:t>
            </w:r>
          </w:p>
        </w:tc>
      </w:tr>
      <w:tr>
        <w:trPr>
          <w:trHeight w:val="176"/>
        </w:trPr>
        <w:tc>
          <w:tcPr>
            <w:tcW w:w="2740" w:type="dxa"/>
            <w:vAlign w:val="bottom"/>
          </w:tcPr>
          <w:p>
            <w:pPr>
              <w:ind w:left="120"/>
              <w:spacing w:after="0"/>
              <w:rPr>
                <w:sz w:val="20"/>
                <w:szCs w:val="20"/>
                <w:color w:val="auto"/>
              </w:rPr>
            </w:pPr>
            <w:r>
              <w:rPr>
                <w:rFonts w:ascii="Arial" w:cs="Arial" w:eastAsia="Arial" w:hAnsi="Arial"/>
                <w:sz w:val="13"/>
                <w:szCs w:val="13"/>
                <w:color w:val="202124"/>
              </w:rPr>
              <w:t>Executive Vice President,</w:t>
            </w:r>
          </w:p>
        </w:tc>
        <w:tc>
          <w:tcPr>
            <w:tcW w:w="660" w:type="dxa"/>
            <w:vAlign w:val="bottom"/>
          </w:tcPr>
          <w:p>
            <w:pPr>
              <w:ind w:left="260"/>
              <w:spacing w:after="0"/>
              <w:rPr>
                <w:sz w:val="20"/>
                <w:szCs w:val="20"/>
                <w:color w:val="auto"/>
              </w:rPr>
            </w:pPr>
            <w:r>
              <w:rPr>
                <w:rFonts w:ascii="Arial" w:cs="Arial" w:eastAsia="Arial" w:hAnsi="Arial"/>
                <w:sz w:val="13"/>
                <w:szCs w:val="13"/>
                <w:color w:val="202124"/>
              </w:rPr>
              <w:t>2025</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27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202124"/>
              </w:rPr>
              <w:t>Merchandising, Marketing &amp; Supply Chain</w:t>
            </w: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202124"/>
              </w:rPr>
              <w:t>2024</w:t>
            </w: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313"/>
        </w:trPr>
        <w:tc>
          <w:tcPr>
            <w:tcW w:w="2740" w:type="dxa"/>
            <w:vAlign w:val="bottom"/>
          </w:tcPr>
          <w:p>
            <w:pPr>
              <w:spacing w:after="0"/>
              <w:rPr>
                <w:sz w:val="20"/>
                <w:szCs w:val="20"/>
                <w:color w:val="auto"/>
              </w:rPr>
            </w:pPr>
            <w:r>
              <w:rPr>
                <w:rFonts w:ascii="Arial" w:cs="Arial" w:eastAsia="Arial" w:hAnsi="Arial"/>
                <w:sz w:val="13"/>
                <w:szCs w:val="13"/>
                <w:b w:val="1"/>
                <w:bCs w:val="1"/>
                <w:color w:val="F37F00"/>
              </w:rPr>
              <w:t>Kenneth E. Jaycox, Jr.</w:t>
            </w:r>
          </w:p>
        </w:tc>
        <w:tc>
          <w:tcPr>
            <w:tcW w:w="660" w:type="dxa"/>
            <w:vAlign w:val="bottom"/>
          </w:tcPr>
          <w:p>
            <w:pPr>
              <w:ind w:left="260"/>
              <w:spacing w:after="0"/>
              <w:rPr>
                <w:sz w:val="20"/>
                <w:szCs w:val="20"/>
                <w:color w:val="auto"/>
              </w:rPr>
            </w:pPr>
            <w:r>
              <w:rPr>
                <w:rFonts w:ascii="Arial" w:cs="Arial" w:eastAsia="Arial" w:hAnsi="Arial"/>
                <w:sz w:val="13"/>
                <w:szCs w:val="13"/>
                <w:color w:val="202124"/>
              </w:rPr>
              <w:t>2026</w:t>
            </w:r>
          </w:p>
        </w:tc>
        <w:tc>
          <w:tcPr>
            <w:tcW w:w="840" w:type="dxa"/>
            <w:vAlign w:val="bottom"/>
          </w:tcPr>
          <w:p>
            <w:pPr>
              <w:jc w:val="right"/>
              <w:spacing w:after="0"/>
              <w:rPr>
                <w:sz w:val="20"/>
                <w:szCs w:val="20"/>
                <w:color w:val="auto"/>
              </w:rPr>
            </w:pPr>
            <w:r>
              <w:rPr>
                <w:rFonts w:ascii="Arial" w:cs="Arial" w:eastAsia="Arial" w:hAnsi="Arial"/>
                <w:sz w:val="13"/>
                <w:szCs w:val="13"/>
                <w:color w:val="202124"/>
              </w:rPr>
              <w:t>508,462</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5,007,470</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3,882,470</w:t>
            </w:r>
          </w:p>
        </w:tc>
        <w:tc>
          <w:tcPr>
            <w:tcW w:w="1100" w:type="dxa"/>
            <w:vAlign w:val="bottom"/>
          </w:tcPr>
          <w:p>
            <w:pPr>
              <w:jc w:val="right"/>
              <w:spacing w:after="0"/>
              <w:rPr>
                <w:sz w:val="20"/>
                <w:szCs w:val="20"/>
                <w:color w:val="auto"/>
              </w:rPr>
            </w:pPr>
            <w:r>
              <w:rPr>
                <w:rFonts w:ascii="Arial" w:cs="Arial" w:eastAsia="Arial" w:hAnsi="Arial"/>
                <w:sz w:val="13"/>
                <w:szCs w:val="13"/>
                <w:color w:val="202124"/>
              </w:rPr>
              <w:t>322,558</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59,058</w:t>
            </w:r>
          </w:p>
        </w:tc>
        <w:tc>
          <w:tcPr>
            <w:tcW w:w="840" w:type="dxa"/>
            <w:vAlign w:val="bottom"/>
          </w:tcPr>
          <w:p>
            <w:pPr>
              <w:jc w:val="right"/>
              <w:spacing w:after="0"/>
              <w:rPr>
                <w:sz w:val="20"/>
                <w:szCs w:val="20"/>
                <w:color w:val="auto"/>
              </w:rPr>
            </w:pPr>
            <w:r>
              <w:rPr>
                <w:rFonts w:ascii="Arial" w:cs="Arial" w:eastAsia="Arial" w:hAnsi="Arial"/>
                <w:sz w:val="13"/>
                <w:szCs w:val="13"/>
                <w:color w:val="202124"/>
              </w:rPr>
              <w:t>9,780,018</w:t>
            </w:r>
          </w:p>
        </w:tc>
      </w:tr>
      <w:tr>
        <w:trPr>
          <w:trHeight w:val="289"/>
        </w:trPr>
        <w:tc>
          <w:tcPr>
            <w:tcW w:w="2740" w:type="dxa"/>
            <w:vAlign w:val="bottom"/>
          </w:tcPr>
          <w:p>
            <w:pPr>
              <w:ind w:left="120"/>
              <w:spacing w:after="0"/>
              <w:rPr>
                <w:sz w:val="20"/>
                <w:szCs w:val="20"/>
                <w:color w:val="auto"/>
              </w:rPr>
            </w:pPr>
            <w:r>
              <w:rPr>
                <w:rFonts w:ascii="Arial" w:cs="Arial" w:eastAsia="Arial" w:hAnsi="Arial"/>
                <w:sz w:val="13"/>
                <w:szCs w:val="13"/>
                <w:color w:val="202124"/>
              </w:rPr>
              <w:t>Senior Vice President, Commercial</w:t>
            </w:r>
          </w:p>
        </w:tc>
        <w:tc>
          <w:tcPr>
            <w:tcW w:w="660" w:type="dxa"/>
            <w:vAlign w:val="bottom"/>
          </w:tcPr>
          <w:p>
            <w:pPr>
              <w:ind w:left="260"/>
              <w:spacing w:after="0"/>
              <w:rPr>
                <w:sz w:val="20"/>
                <w:szCs w:val="20"/>
                <w:color w:val="auto"/>
              </w:rPr>
            </w:pPr>
            <w:r>
              <w:rPr>
                <w:rFonts w:ascii="Arial" w:cs="Arial" w:eastAsia="Arial" w:hAnsi="Arial"/>
                <w:sz w:val="13"/>
                <w:szCs w:val="13"/>
                <w:color w:val="202124"/>
              </w:rPr>
              <w:t>2025</w:t>
            </w:r>
          </w:p>
        </w:tc>
        <w:tc>
          <w:tcPr>
            <w:tcW w:w="840" w:type="dxa"/>
            <w:vAlign w:val="bottom"/>
          </w:tcPr>
          <w:p>
            <w:pPr>
              <w:jc w:val="right"/>
              <w:spacing w:after="0"/>
              <w:rPr>
                <w:sz w:val="20"/>
                <w:szCs w:val="20"/>
                <w:color w:val="auto"/>
              </w:rPr>
            </w:pPr>
            <w:r>
              <w:rPr>
                <w:rFonts w:ascii="Arial" w:cs="Arial" w:eastAsia="Arial" w:hAnsi="Arial"/>
                <w:sz w:val="13"/>
                <w:szCs w:val="13"/>
                <w:color w:val="202124"/>
              </w:rPr>
              <w:t>500,000</w:t>
            </w:r>
          </w:p>
        </w:tc>
        <w:tc>
          <w:tcPr>
            <w:tcW w:w="780" w:type="dxa"/>
            <w:vAlign w:val="bottom"/>
          </w:tcPr>
          <w:p>
            <w:pPr>
              <w:ind w:left="600"/>
              <w:spacing w:after="0"/>
              <w:rPr>
                <w:sz w:val="20"/>
                <w:szCs w:val="20"/>
                <w:color w:val="auto"/>
              </w:rPr>
            </w:pPr>
            <w:r>
              <w:rPr>
                <w:rFonts w:ascii="Arial" w:cs="Arial" w:eastAsia="Arial" w:hAnsi="Arial"/>
                <w:sz w:val="13"/>
                <w:szCs w:val="13"/>
                <w:color w:val="202124"/>
              </w:rPr>
              <w:t>—</w:t>
            </w:r>
          </w:p>
        </w:tc>
        <w:tc>
          <w:tcPr>
            <w:tcW w:w="840" w:type="dxa"/>
            <w:vAlign w:val="bottom"/>
          </w:tcPr>
          <w:p>
            <w:pPr>
              <w:jc w:val="right"/>
              <w:spacing w:after="0"/>
              <w:rPr>
                <w:sz w:val="20"/>
                <w:szCs w:val="20"/>
                <w:color w:val="auto"/>
              </w:rPr>
            </w:pPr>
            <w:r>
              <w:rPr>
                <w:rFonts w:ascii="Arial" w:cs="Arial" w:eastAsia="Arial" w:hAnsi="Arial"/>
                <w:sz w:val="13"/>
                <w:szCs w:val="13"/>
                <w:color w:val="202124"/>
              </w:rPr>
              <w:t>—</w:t>
            </w:r>
          </w:p>
        </w:tc>
        <w:tc>
          <w:tcPr>
            <w:tcW w:w="820" w:type="dxa"/>
            <w:vAlign w:val="bottom"/>
          </w:tcPr>
          <w:p>
            <w:pPr>
              <w:jc w:val="center"/>
              <w:ind w:left="33"/>
              <w:spacing w:after="0"/>
              <w:rPr>
                <w:sz w:val="20"/>
                <w:szCs w:val="20"/>
                <w:color w:val="auto"/>
              </w:rPr>
            </w:pPr>
            <w:r>
              <w:rPr>
                <w:rFonts w:ascii="Arial" w:cs="Arial" w:eastAsia="Arial" w:hAnsi="Arial"/>
                <w:sz w:val="13"/>
                <w:szCs w:val="13"/>
                <w:color w:val="202124"/>
              </w:rPr>
              <w:t>3,299,639</w:t>
            </w:r>
          </w:p>
        </w:tc>
        <w:tc>
          <w:tcPr>
            <w:tcW w:w="1100" w:type="dxa"/>
            <w:vAlign w:val="bottom"/>
          </w:tcPr>
          <w:p>
            <w:pPr>
              <w:jc w:val="right"/>
              <w:spacing w:after="0"/>
              <w:rPr>
                <w:sz w:val="20"/>
                <w:szCs w:val="20"/>
                <w:color w:val="auto"/>
              </w:rPr>
            </w:pPr>
            <w:r>
              <w:rPr>
                <w:rFonts w:ascii="Arial" w:cs="Arial" w:eastAsia="Arial" w:hAnsi="Arial"/>
                <w:sz w:val="13"/>
                <w:szCs w:val="13"/>
                <w:color w:val="202124"/>
              </w:rPr>
              <w:t>290,251</w:t>
            </w:r>
          </w:p>
        </w:tc>
        <w:tc>
          <w:tcPr>
            <w:tcW w:w="1100" w:type="dxa"/>
            <w:vAlign w:val="bottom"/>
          </w:tcPr>
          <w:p>
            <w:pPr>
              <w:jc w:val="right"/>
              <w:ind w:right="13"/>
              <w:spacing w:after="0"/>
              <w:rPr>
                <w:sz w:val="20"/>
                <w:szCs w:val="20"/>
                <w:color w:val="auto"/>
              </w:rPr>
            </w:pPr>
            <w:r>
              <w:rPr>
                <w:rFonts w:ascii="Arial" w:cs="Arial" w:eastAsia="Arial" w:hAnsi="Arial"/>
                <w:sz w:val="13"/>
                <w:szCs w:val="13"/>
                <w:color w:val="202124"/>
              </w:rPr>
              <w:t>194,608</w:t>
            </w:r>
          </w:p>
        </w:tc>
        <w:tc>
          <w:tcPr>
            <w:tcW w:w="840" w:type="dxa"/>
            <w:vAlign w:val="bottom"/>
          </w:tcPr>
          <w:p>
            <w:pPr>
              <w:jc w:val="right"/>
              <w:spacing w:after="0"/>
              <w:rPr>
                <w:sz w:val="20"/>
                <w:szCs w:val="20"/>
                <w:color w:val="auto"/>
              </w:rPr>
            </w:pPr>
            <w:r>
              <w:rPr>
                <w:rFonts w:ascii="Arial" w:cs="Arial" w:eastAsia="Arial" w:hAnsi="Arial"/>
                <w:sz w:val="13"/>
                <w:szCs w:val="13"/>
                <w:color w:val="202124"/>
              </w:rPr>
              <w:t>4,284,498</w:t>
            </w:r>
          </w:p>
        </w:tc>
      </w:tr>
      <w:tr>
        <w:trPr>
          <w:trHeight w:val="282"/>
        </w:trPr>
        <w:tc>
          <w:tcPr>
            <w:tcW w:w="2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202124"/>
              </w:rPr>
              <w:t>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48,077</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20212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w:t>
            </w:r>
          </w:p>
        </w:tc>
        <w:tc>
          <w:tcPr>
            <w:tcW w:w="82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202124"/>
              </w:rPr>
              <w:t>5,298,895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28,647</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202124"/>
              </w:rPr>
              <w:t>21,473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5,397,092</w:t>
            </w:r>
          </w:p>
        </w:tc>
      </w:tr>
    </w:tbl>
    <w:p>
      <w:pPr>
        <w:spacing w:after="0" w:line="53" w:lineRule="exact"/>
        <w:rPr>
          <w:sz w:val="20"/>
          <w:szCs w:val="20"/>
          <w:color w:val="auto"/>
        </w:rPr>
      </w:pPr>
    </w:p>
    <w:p>
      <w:pPr>
        <w:ind w:left="960" w:right="160" w:hanging="316"/>
        <w:spacing w:after="0" w:line="286" w:lineRule="auto"/>
        <w:tabs>
          <w:tab w:leader="none" w:pos="960" w:val="left"/>
        </w:tabs>
        <w:numPr>
          <w:ilvl w:val="0"/>
          <w:numId w:val="90"/>
        </w:numPr>
        <w:rPr>
          <w:rFonts w:ascii="Arial" w:cs="Arial" w:eastAsia="Arial" w:hAnsi="Arial"/>
          <w:sz w:val="12"/>
          <w:szCs w:val="12"/>
          <w:color w:val="202124"/>
        </w:rPr>
      </w:pPr>
      <w:r>
        <w:rPr>
          <w:rFonts w:ascii="Arial" w:cs="Arial" w:eastAsia="Arial" w:hAnsi="Arial"/>
          <w:sz w:val="16"/>
          <w:szCs w:val="16"/>
          <w:color w:val="202124"/>
        </w:rPr>
        <w:t>Annual incentive awards were paid pursuant to the approved management incentive plan and therefore appear in the “non-equity incentive plan compensation” column of the table.</w:t>
      </w:r>
    </w:p>
    <w:p>
      <w:pPr>
        <w:spacing w:after="0" w:line="34" w:lineRule="exact"/>
        <w:rPr>
          <w:rFonts w:ascii="Arial" w:cs="Arial" w:eastAsia="Arial" w:hAnsi="Arial"/>
          <w:sz w:val="12"/>
          <w:szCs w:val="12"/>
          <w:color w:val="202124"/>
        </w:rPr>
      </w:pPr>
    </w:p>
    <w:p>
      <w:pPr>
        <w:ind w:left="960" w:right="20" w:hanging="316"/>
        <w:spacing w:after="0" w:line="256" w:lineRule="auto"/>
        <w:tabs>
          <w:tab w:leader="none" w:pos="960" w:val="left"/>
        </w:tabs>
        <w:numPr>
          <w:ilvl w:val="0"/>
          <w:numId w:val="90"/>
        </w:numPr>
        <w:rPr>
          <w:rFonts w:ascii="Arial" w:cs="Arial" w:eastAsia="Arial" w:hAnsi="Arial"/>
          <w:sz w:val="12"/>
          <w:szCs w:val="12"/>
          <w:color w:val="202124"/>
        </w:rPr>
      </w:pPr>
      <w:r>
        <w:rPr>
          <w:rFonts w:ascii="Arial" w:cs="Arial" w:eastAsia="Arial" w:hAnsi="Arial"/>
          <w:sz w:val="16"/>
          <w:szCs w:val="16"/>
          <w:color w:val="202124"/>
        </w:rPr>
        <w:t>Except as specifically noted below for Mr. Jaycox, represents shares acquired pursuant to the Executive Stock Purchase Plan. See “Compensation Discussion and Analysis” on page 60 for more information about the Executive Stock Purchase Plan. See Note N, Share-Based Plans, to our consolidated financial statements in our Annual Report for a description of the Executive Stock Purchase Plan and the accounting and assumptions used in calculating expenses in accordance with FASB ASC Topic 718. For Mr. Jaycox, $7,682 of the total amount is attributable to the XSPP and $4,999,788 is attributable to his RSU grant.</w:t>
      </w:r>
    </w:p>
    <w:p>
      <w:pPr>
        <w:spacing w:after="0" w:line="58" w:lineRule="exact"/>
        <w:rPr>
          <w:rFonts w:ascii="Arial" w:cs="Arial" w:eastAsia="Arial" w:hAnsi="Arial"/>
          <w:sz w:val="12"/>
          <w:szCs w:val="12"/>
          <w:color w:val="202124"/>
        </w:rPr>
      </w:pPr>
    </w:p>
    <w:p>
      <w:pPr>
        <w:ind w:left="960" w:right="20" w:hanging="316"/>
        <w:spacing w:after="0" w:line="266" w:lineRule="auto"/>
        <w:tabs>
          <w:tab w:leader="none" w:pos="960" w:val="left"/>
        </w:tabs>
        <w:numPr>
          <w:ilvl w:val="0"/>
          <w:numId w:val="90"/>
        </w:numPr>
        <w:rPr>
          <w:rFonts w:ascii="Arial" w:cs="Arial" w:eastAsia="Arial" w:hAnsi="Arial"/>
          <w:sz w:val="12"/>
          <w:szCs w:val="12"/>
          <w:color w:val="202124"/>
        </w:rPr>
      </w:pPr>
      <w:r>
        <w:rPr>
          <w:rFonts w:ascii="Arial" w:cs="Arial" w:eastAsia="Arial" w:hAnsi="Arial"/>
          <w:sz w:val="16"/>
          <w:szCs w:val="16"/>
          <w:color w:val="202124"/>
        </w:rPr>
        <w:t>The value of stock awards and option awards was determined as required by FASB ASC Topic 718. There is no assurance that these values will be realized. See Note N, Share-Based Plans, to our consolidated financial statements in our Form 10-K for details on assumptions used in the valuation.</w:t>
      </w:r>
    </w:p>
    <w:p>
      <w:pPr>
        <w:spacing w:after="0" w:line="36" w:lineRule="exact"/>
        <w:rPr>
          <w:rFonts w:ascii="Arial" w:cs="Arial" w:eastAsia="Arial" w:hAnsi="Arial"/>
          <w:sz w:val="12"/>
          <w:szCs w:val="12"/>
          <w:color w:val="202124"/>
        </w:rPr>
      </w:pPr>
    </w:p>
    <w:p>
      <w:pPr>
        <w:ind w:left="960" w:right="340" w:hanging="316"/>
        <w:spacing w:after="0" w:line="286" w:lineRule="auto"/>
        <w:tabs>
          <w:tab w:leader="none" w:pos="960" w:val="left"/>
        </w:tabs>
        <w:numPr>
          <w:ilvl w:val="0"/>
          <w:numId w:val="90"/>
        </w:numPr>
        <w:rPr>
          <w:rFonts w:ascii="Arial" w:cs="Arial" w:eastAsia="Arial" w:hAnsi="Arial"/>
          <w:sz w:val="12"/>
          <w:szCs w:val="12"/>
          <w:color w:val="202124"/>
        </w:rPr>
      </w:pPr>
      <w:r>
        <w:rPr>
          <w:rFonts w:ascii="Arial" w:cs="Arial" w:eastAsia="Arial" w:hAnsi="Arial"/>
          <w:sz w:val="16"/>
          <w:szCs w:val="16"/>
          <w:color w:val="202124"/>
        </w:rPr>
        <w:t>Incentive amounts were earned for the 2026 fiscal year pursuant to the approved management incentive plan and were paid in October 2026. See “Compensation Discussion and Analysis” on page 53 for more information about this plan.</w:t>
      </w:r>
    </w:p>
    <w:p>
      <w:pPr>
        <w:spacing w:after="0" w:line="34" w:lineRule="exact"/>
        <w:rPr>
          <w:rFonts w:ascii="Arial" w:cs="Arial" w:eastAsia="Arial" w:hAnsi="Arial"/>
          <w:sz w:val="12"/>
          <w:szCs w:val="12"/>
          <w:color w:val="202124"/>
        </w:rPr>
      </w:pPr>
    </w:p>
    <w:p>
      <w:pPr>
        <w:ind w:left="960" w:hanging="316"/>
        <w:spacing w:after="0"/>
        <w:tabs>
          <w:tab w:leader="none" w:pos="960" w:val="left"/>
        </w:tabs>
        <w:numPr>
          <w:ilvl w:val="0"/>
          <w:numId w:val="90"/>
        </w:numPr>
        <w:rPr>
          <w:rFonts w:ascii="Arial" w:cs="Arial" w:eastAsia="Arial" w:hAnsi="Arial"/>
          <w:sz w:val="12"/>
          <w:szCs w:val="12"/>
          <w:color w:val="202124"/>
        </w:rPr>
      </w:pPr>
      <w:r>
        <w:rPr>
          <w:rFonts w:ascii="Arial" w:cs="Arial" w:eastAsia="Arial" w:hAnsi="Arial"/>
          <w:sz w:val="16"/>
          <w:szCs w:val="16"/>
          <w:color w:val="202124"/>
        </w:rPr>
        <w:t>All Other Compensation includes the following:</w:t>
      </w:r>
    </w:p>
    <w:p>
      <w:pPr>
        <w:spacing w:after="0" w:line="73"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2040" w:type="dxa"/>
            <w:vAlign w:val="bottom"/>
            <w:shd w:val="clear" w:color="auto" w:fill="212322"/>
          </w:tcPr>
          <w:p>
            <w:pPr>
              <w:spacing w:after="0"/>
              <w:rPr>
                <w:sz w:val="16"/>
                <w:szCs w:val="16"/>
                <w:color w:val="auto"/>
              </w:rPr>
            </w:pPr>
          </w:p>
        </w:tc>
        <w:tc>
          <w:tcPr>
            <w:tcW w:w="22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212322"/>
          </w:tcPr>
          <w:p>
            <w:pPr>
              <w:jc w:val="right"/>
              <w:ind w:right="113"/>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212322"/>
          </w:tcPr>
          <w:p>
            <w:pPr>
              <w:jc w:val="right"/>
              <w:ind w:right="979"/>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212322"/>
          </w:tcPr>
          <w:p>
            <w:pPr>
              <w:spacing w:after="0"/>
              <w:rPr>
                <w:sz w:val="16"/>
                <w:szCs w:val="16"/>
                <w:color w:val="auto"/>
              </w:rPr>
            </w:pPr>
          </w:p>
        </w:tc>
        <w:tc>
          <w:tcPr>
            <w:tcW w:w="1080" w:type="dxa"/>
            <w:vAlign w:val="bottom"/>
            <w:shd w:val="clear" w:color="auto" w:fill="212322"/>
          </w:tcPr>
          <w:p>
            <w:pPr>
              <w:spacing w:after="0"/>
              <w:rPr>
                <w:sz w:val="16"/>
                <w:szCs w:val="16"/>
                <w:color w:val="auto"/>
              </w:rPr>
            </w:pPr>
          </w:p>
        </w:tc>
        <w:tc>
          <w:tcPr>
            <w:tcW w:w="940" w:type="dxa"/>
            <w:vAlign w:val="bottom"/>
            <w:shd w:val="clear" w:color="auto" w:fill="212322"/>
          </w:tcPr>
          <w:p>
            <w:pPr>
              <w:jc w:val="right"/>
              <w:ind w:right="718"/>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212322"/>
          </w:tcPr>
          <w:p>
            <w:pPr>
              <w:jc w:val="right"/>
              <w:ind w:right="100"/>
              <w:spacing w:after="0"/>
              <w:rPr>
                <w:sz w:val="20"/>
                <w:szCs w:val="20"/>
                <w:color w:val="auto"/>
              </w:rPr>
            </w:pPr>
            <w:r>
              <w:rPr>
                <w:rFonts w:ascii="Arial" w:cs="Arial" w:eastAsia="Arial" w:hAnsi="Arial"/>
                <w:sz w:val="14"/>
                <w:szCs w:val="14"/>
                <w:b w:val="1"/>
                <w:bCs w:val="1"/>
                <w:color w:val="FFFFFF"/>
              </w:rPr>
              <w:t>​​​ Company</w:t>
            </w:r>
          </w:p>
        </w:tc>
        <w:tc>
          <w:tcPr>
            <w:tcW w:w="920" w:type="dxa"/>
            <w:vAlign w:val="bottom"/>
            <w:shd w:val="clear" w:color="auto" w:fill="212322"/>
          </w:tcPr>
          <w:p>
            <w:pPr>
              <w:jc w:val="right"/>
              <w:ind w:right="679"/>
              <w:spacing w:after="0"/>
              <w:rPr>
                <w:sz w:val="20"/>
                <w:szCs w:val="20"/>
                <w:color w:val="auto"/>
              </w:rPr>
            </w:pPr>
            <w:r>
              <w:rPr>
                <w:rFonts w:ascii="Arial" w:cs="Arial" w:eastAsia="Arial" w:hAnsi="Arial"/>
                <w:sz w:val="14"/>
                <w:szCs w:val="14"/>
                <w:b w:val="1"/>
                <w:bCs w:val="1"/>
                <w:color w:val="FFFFFF"/>
              </w:rPr>
              <w:t>​​​</w:t>
            </w:r>
          </w:p>
        </w:tc>
      </w:tr>
      <w:tr>
        <w:trPr>
          <w:trHeight w:val="162"/>
        </w:trPr>
        <w:tc>
          <w:tcPr>
            <w:tcW w:w="2040" w:type="dxa"/>
            <w:vAlign w:val="bottom"/>
            <w:shd w:val="clear" w:color="auto" w:fill="212322"/>
          </w:tcPr>
          <w:p>
            <w:pPr>
              <w:spacing w:after="0"/>
              <w:rPr>
                <w:sz w:val="14"/>
                <w:szCs w:val="14"/>
                <w:color w:val="auto"/>
              </w:rPr>
            </w:pPr>
          </w:p>
        </w:tc>
        <w:tc>
          <w:tcPr>
            <w:tcW w:w="220" w:type="dxa"/>
            <w:vAlign w:val="bottom"/>
            <w:shd w:val="clear" w:color="auto" w:fill="212322"/>
          </w:tcPr>
          <w:p>
            <w:pPr>
              <w:spacing w:after="0"/>
              <w:rPr>
                <w:sz w:val="14"/>
                <w:szCs w:val="14"/>
                <w:color w:val="auto"/>
              </w:rPr>
            </w:pPr>
          </w:p>
        </w:tc>
        <w:tc>
          <w:tcPr>
            <w:tcW w:w="520" w:type="dxa"/>
            <w:vAlign w:val="bottom"/>
            <w:shd w:val="clear" w:color="auto" w:fill="212322"/>
          </w:tcPr>
          <w:p>
            <w:pPr>
              <w:spacing w:after="0"/>
              <w:rPr>
                <w:sz w:val="14"/>
                <w:szCs w:val="14"/>
                <w:color w:val="auto"/>
              </w:rPr>
            </w:pPr>
          </w:p>
        </w:tc>
        <w:tc>
          <w:tcPr>
            <w:tcW w:w="1260" w:type="dxa"/>
            <w:vAlign w:val="bottom"/>
            <w:shd w:val="clear" w:color="auto" w:fill="212322"/>
          </w:tcPr>
          <w:p>
            <w:pPr>
              <w:spacing w:after="0"/>
              <w:rPr>
                <w:sz w:val="14"/>
                <w:szCs w:val="14"/>
                <w:color w:val="auto"/>
              </w:rPr>
            </w:pPr>
          </w:p>
        </w:tc>
        <w:tc>
          <w:tcPr>
            <w:tcW w:w="1060" w:type="dxa"/>
            <w:vAlign w:val="bottom"/>
            <w:shd w:val="clear" w:color="auto" w:fill="212322"/>
          </w:tcPr>
          <w:p>
            <w:pPr>
              <w:spacing w:after="0"/>
              <w:rPr>
                <w:sz w:val="14"/>
                <w:szCs w:val="14"/>
                <w:color w:val="auto"/>
              </w:rPr>
            </w:pPr>
          </w:p>
        </w:tc>
        <w:tc>
          <w:tcPr>
            <w:tcW w:w="1080" w:type="dxa"/>
            <w:vAlign w:val="bottom"/>
            <w:shd w:val="clear" w:color="auto" w:fill="212322"/>
          </w:tcPr>
          <w:p>
            <w:pPr>
              <w:spacing w:after="0"/>
              <w:rPr>
                <w:sz w:val="14"/>
                <w:szCs w:val="14"/>
                <w:color w:val="auto"/>
              </w:rPr>
            </w:pPr>
          </w:p>
        </w:tc>
        <w:tc>
          <w:tcPr>
            <w:tcW w:w="940" w:type="dxa"/>
            <w:vAlign w:val="bottom"/>
            <w:shd w:val="clear" w:color="auto" w:fill="212322"/>
          </w:tcPr>
          <w:p>
            <w:pPr>
              <w:spacing w:after="0"/>
              <w:rPr>
                <w:sz w:val="14"/>
                <w:szCs w:val="14"/>
                <w:color w:val="auto"/>
              </w:rPr>
            </w:pPr>
          </w:p>
        </w:tc>
        <w:tc>
          <w:tcPr>
            <w:tcW w:w="1120" w:type="dxa"/>
            <w:vAlign w:val="bottom"/>
            <w:shd w:val="clear" w:color="auto" w:fill="212322"/>
          </w:tcPr>
          <w:p>
            <w:pPr>
              <w:jc w:val="center"/>
              <w:ind w:left="20"/>
              <w:spacing w:after="0"/>
              <w:rPr>
                <w:sz w:val="20"/>
                <w:szCs w:val="20"/>
                <w:color w:val="auto"/>
              </w:rPr>
            </w:pPr>
            <w:r>
              <w:rPr>
                <w:rFonts w:ascii="Arial" w:cs="Arial" w:eastAsia="Arial" w:hAnsi="Arial"/>
                <w:sz w:val="14"/>
                <w:szCs w:val="14"/>
                <w:b w:val="1"/>
                <w:bCs w:val="1"/>
                <w:color w:val="FFFFFF"/>
              </w:rPr>
              <w:t>Contributions</w:t>
            </w:r>
          </w:p>
        </w:tc>
        <w:tc>
          <w:tcPr>
            <w:tcW w:w="920" w:type="dxa"/>
            <w:vAlign w:val="bottom"/>
            <w:shd w:val="clear" w:color="auto" w:fill="212322"/>
          </w:tcPr>
          <w:p>
            <w:pPr>
              <w:spacing w:after="0"/>
              <w:rPr>
                <w:sz w:val="14"/>
                <w:szCs w:val="14"/>
                <w:color w:val="auto"/>
              </w:rPr>
            </w:pPr>
          </w:p>
        </w:tc>
      </w:tr>
      <w:tr>
        <w:trPr>
          <w:trHeight w:val="162"/>
        </w:trPr>
        <w:tc>
          <w:tcPr>
            <w:tcW w:w="2040" w:type="dxa"/>
            <w:vAlign w:val="bottom"/>
            <w:shd w:val="clear" w:color="auto" w:fill="212322"/>
          </w:tcPr>
          <w:p>
            <w:pPr>
              <w:spacing w:after="0"/>
              <w:rPr>
                <w:sz w:val="14"/>
                <w:szCs w:val="14"/>
                <w:color w:val="auto"/>
              </w:rPr>
            </w:pPr>
          </w:p>
        </w:tc>
        <w:tc>
          <w:tcPr>
            <w:tcW w:w="220" w:type="dxa"/>
            <w:vAlign w:val="bottom"/>
            <w:shd w:val="clear" w:color="auto" w:fill="212322"/>
          </w:tcPr>
          <w:p>
            <w:pPr>
              <w:spacing w:after="0"/>
              <w:rPr>
                <w:sz w:val="14"/>
                <w:szCs w:val="14"/>
                <w:color w:val="auto"/>
              </w:rPr>
            </w:pPr>
          </w:p>
        </w:tc>
        <w:tc>
          <w:tcPr>
            <w:tcW w:w="520" w:type="dxa"/>
            <w:vAlign w:val="bottom"/>
            <w:shd w:val="clear" w:color="auto" w:fill="212322"/>
          </w:tcPr>
          <w:p>
            <w:pPr>
              <w:spacing w:after="0"/>
              <w:rPr>
                <w:sz w:val="14"/>
                <w:szCs w:val="14"/>
                <w:color w:val="auto"/>
              </w:rPr>
            </w:pPr>
          </w:p>
        </w:tc>
        <w:tc>
          <w:tcPr>
            <w:tcW w:w="1260" w:type="dxa"/>
            <w:vAlign w:val="bottom"/>
            <w:shd w:val="clear" w:color="auto" w:fill="212322"/>
          </w:tcPr>
          <w:p>
            <w:pPr>
              <w:jc w:val="center"/>
              <w:ind w:left="79"/>
              <w:spacing w:after="0"/>
              <w:rPr>
                <w:sz w:val="20"/>
                <w:szCs w:val="20"/>
                <w:color w:val="auto"/>
              </w:rPr>
            </w:pPr>
            <w:r>
              <w:rPr>
                <w:rFonts w:ascii="Arial" w:cs="Arial" w:eastAsia="Arial" w:hAnsi="Arial"/>
                <w:sz w:val="14"/>
                <w:szCs w:val="14"/>
                <w:b w:val="1"/>
                <w:bCs w:val="1"/>
                <w:color w:val="FFFFFF"/>
              </w:rPr>
              <w:t>Perquisites and</w:t>
            </w:r>
          </w:p>
        </w:tc>
        <w:tc>
          <w:tcPr>
            <w:tcW w:w="1060" w:type="dxa"/>
            <w:vAlign w:val="bottom"/>
            <w:shd w:val="clear" w:color="auto" w:fill="212322"/>
          </w:tcPr>
          <w:p>
            <w:pPr>
              <w:spacing w:after="0"/>
              <w:rPr>
                <w:sz w:val="14"/>
                <w:szCs w:val="14"/>
                <w:color w:val="auto"/>
              </w:rPr>
            </w:pPr>
          </w:p>
        </w:tc>
        <w:tc>
          <w:tcPr>
            <w:tcW w:w="1080" w:type="dxa"/>
            <w:vAlign w:val="bottom"/>
            <w:shd w:val="clear" w:color="auto" w:fill="212322"/>
          </w:tcPr>
          <w:p>
            <w:pPr>
              <w:spacing w:after="0"/>
              <w:rPr>
                <w:sz w:val="14"/>
                <w:szCs w:val="14"/>
                <w:color w:val="auto"/>
              </w:rPr>
            </w:pPr>
          </w:p>
        </w:tc>
        <w:tc>
          <w:tcPr>
            <w:tcW w:w="940" w:type="dxa"/>
            <w:vAlign w:val="bottom"/>
            <w:shd w:val="clear" w:color="auto" w:fill="212322"/>
          </w:tcPr>
          <w:p>
            <w:pPr>
              <w:spacing w:after="0"/>
              <w:rPr>
                <w:sz w:val="14"/>
                <w:szCs w:val="14"/>
                <w:color w:val="auto"/>
              </w:rPr>
            </w:pPr>
          </w:p>
        </w:tc>
        <w:tc>
          <w:tcPr>
            <w:tcW w:w="1120" w:type="dxa"/>
            <w:vAlign w:val="bottom"/>
            <w:shd w:val="clear" w:color="auto" w:fill="212322"/>
          </w:tcPr>
          <w:p>
            <w:pPr>
              <w:jc w:val="center"/>
              <w:ind w:left="20"/>
              <w:spacing w:after="0"/>
              <w:rPr>
                <w:sz w:val="20"/>
                <w:szCs w:val="20"/>
                <w:color w:val="auto"/>
              </w:rPr>
            </w:pPr>
            <w:r>
              <w:rPr>
                <w:rFonts w:ascii="Arial" w:cs="Arial" w:eastAsia="Arial" w:hAnsi="Arial"/>
                <w:sz w:val="14"/>
                <w:szCs w:val="14"/>
                <w:b w:val="1"/>
                <w:bCs w:val="1"/>
                <w:color w:val="FFFFFF"/>
              </w:rPr>
              <w:t>to Defined</w:t>
            </w:r>
          </w:p>
        </w:tc>
        <w:tc>
          <w:tcPr>
            <w:tcW w:w="920" w:type="dxa"/>
            <w:vAlign w:val="bottom"/>
            <w:shd w:val="clear" w:color="auto" w:fill="212322"/>
          </w:tcPr>
          <w:p>
            <w:pPr>
              <w:jc w:val="center"/>
              <w:ind w:left="19"/>
              <w:spacing w:after="0"/>
              <w:rPr>
                <w:sz w:val="20"/>
                <w:szCs w:val="20"/>
                <w:color w:val="auto"/>
              </w:rPr>
            </w:pPr>
            <w:r>
              <w:rPr>
                <w:rFonts w:ascii="Arial" w:cs="Arial" w:eastAsia="Arial" w:hAnsi="Arial"/>
                <w:sz w:val="14"/>
                <w:szCs w:val="14"/>
                <w:b w:val="1"/>
                <w:bCs w:val="1"/>
                <w:color w:val="FFFFFF"/>
              </w:rPr>
              <w:t>Life</w:t>
            </w:r>
          </w:p>
        </w:tc>
      </w:tr>
      <w:tr>
        <w:trPr>
          <w:trHeight w:val="162"/>
        </w:trPr>
        <w:tc>
          <w:tcPr>
            <w:tcW w:w="2040" w:type="dxa"/>
            <w:vAlign w:val="bottom"/>
            <w:shd w:val="clear" w:color="auto" w:fill="212322"/>
          </w:tcPr>
          <w:p>
            <w:pPr>
              <w:spacing w:after="0"/>
              <w:rPr>
                <w:sz w:val="14"/>
                <w:szCs w:val="14"/>
                <w:color w:val="auto"/>
              </w:rPr>
            </w:pPr>
          </w:p>
        </w:tc>
        <w:tc>
          <w:tcPr>
            <w:tcW w:w="220" w:type="dxa"/>
            <w:vAlign w:val="bottom"/>
            <w:shd w:val="clear" w:color="auto" w:fill="212322"/>
          </w:tcPr>
          <w:p>
            <w:pPr>
              <w:spacing w:after="0"/>
              <w:rPr>
                <w:sz w:val="14"/>
                <w:szCs w:val="14"/>
                <w:color w:val="auto"/>
              </w:rPr>
            </w:pPr>
          </w:p>
        </w:tc>
        <w:tc>
          <w:tcPr>
            <w:tcW w:w="520" w:type="dxa"/>
            <w:vAlign w:val="bottom"/>
            <w:shd w:val="clear" w:color="auto" w:fill="212322"/>
          </w:tcPr>
          <w:p>
            <w:pPr>
              <w:spacing w:after="0"/>
              <w:rPr>
                <w:sz w:val="14"/>
                <w:szCs w:val="14"/>
                <w:color w:val="auto"/>
              </w:rPr>
            </w:pPr>
          </w:p>
        </w:tc>
        <w:tc>
          <w:tcPr>
            <w:tcW w:w="1260" w:type="dxa"/>
            <w:vAlign w:val="bottom"/>
            <w:shd w:val="clear" w:color="auto" w:fill="212322"/>
          </w:tcPr>
          <w:p>
            <w:pPr>
              <w:jc w:val="center"/>
              <w:ind w:left="79"/>
              <w:spacing w:after="0"/>
              <w:rPr>
                <w:sz w:val="20"/>
                <w:szCs w:val="20"/>
                <w:color w:val="auto"/>
              </w:rPr>
            </w:pPr>
            <w:r>
              <w:rPr>
                <w:rFonts w:ascii="Arial" w:cs="Arial" w:eastAsia="Arial" w:hAnsi="Arial"/>
                <w:sz w:val="14"/>
                <w:szCs w:val="14"/>
                <w:b w:val="1"/>
                <w:bCs w:val="1"/>
                <w:color w:val="FFFFFF"/>
              </w:rPr>
              <w:t>Personal</w:t>
            </w:r>
          </w:p>
        </w:tc>
        <w:tc>
          <w:tcPr>
            <w:tcW w:w="1060" w:type="dxa"/>
            <w:vAlign w:val="bottom"/>
            <w:shd w:val="clear" w:color="auto" w:fill="212322"/>
          </w:tcPr>
          <w:p>
            <w:pPr>
              <w:spacing w:after="0"/>
              <w:rPr>
                <w:sz w:val="14"/>
                <w:szCs w:val="14"/>
                <w:color w:val="auto"/>
              </w:rPr>
            </w:pPr>
          </w:p>
        </w:tc>
        <w:tc>
          <w:tcPr>
            <w:tcW w:w="10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Charitable</w:t>
            </w:r>
          </w:p>
        </w:tc>
        <w:tc>
          <w:tcPr>
            <w:tcW w:w="940" w:type="dxa"/>
            <w:vAlign w:val="bottom"/>
            <w:shd w:val="clear" w:color="auto" w:fill="212322"/>
          </w:tcPr>
          <w:p>
            <w:pPr>
              <w:jc w:val="center"/>
              <w:ind w:left="18"/>
              <w:spacing w:after="0"/>
              <w:rPr>
                <w:sz w:val="20"/>
                <w:szCs w:val="20"/>
                <w:color w:val="auto"/>
              </w:rPr>
            </w:pPr>
            <w:r>
              <w:rPr>
                <w:rFonts w:ascii="Arial" w:cs="Arial" w:eastAsia="Arial" w:hAnsi="Arial"/>
                <w:sz w:val="14"/>
                <w:szCs w:val="14"/>
                <w:b w:val="1"/>
                <w:bCs w:val="1"/>
                <w:color w:val="FFFFFF"/>
              </w:rPr>
              <w:t>Imputed</w:t>
            </w:r>
          </w:p>
        </w:tc>
        <w:tc>
          <w:tcPr>
            <w:tcW w:w="1120" w:type="dxa"/>
            <w:vAlign w:val="bottom"/>
            <w:shd w:val="clear" w:color="auto" w:fill="212322"/>
          </w:tcPr>
          <w:p>
            <w:pPr>
              <w:jc w:val="center"/>
              <w:ind w:left="20"/>
              <w:spacing w:after="0"/>
              <w:rPr>
                <w:sz w:val="20"/>
                <w:szCs w:val="20"/>
                <w:color w:val="auto"/>
              </w:rPr>
            </w:pPr>
            <w:r>
              <w:rPr>
                <w:rFonts w:ascii="Arial" w:cs="Arial" w:eastAsia="Arial" w:hAnsi="Arial"/>
                <w:sz w:val="14"/>
                <w:szCs w:val="14"/>
                <w:b w:val="1"/>
                <w:bCs w:val="1"/>
                <w:color w:val="FFFFFF"/>
              </w:rPr>
              <w:t>Contribution</w:t>
            </w:r>
          </w:p>
        </w:tc>
        <w:tc>
          <w:tcPr>
            <w:tcW w:w="920" w:type="dxa"/>
            <w:vAlign w:val="bottom"/>
            <w:shd w:val="clear" w:color="auto" w:fill="212322"/>
          </w:tcPr>
          <w:p>
            <w:pPr>
              <w:jc w:val="center"/>
              <w:ind w:left="39"/>
              <w:spacing w:after="0"/>
              <w:rPr>
                <w:sz w:val="20"/>
                <w:szCs w:val="20"/>
                <w:color w:val="auto"/>
              </w:rPr>
            </w:pPr>
            <w:r>
              <w:rPr>
                <w:rFonts w:ascii="Arial" w:cs="Arial" w:eastAsia="Arial" w:hAnsi="Arial"/>
                <w:sz w:val="14"/>
                <w:szCs w:val="14"/>
                <w:b w:val="1"/>
                <w:bCs w:val="1"/>
                <w:color w:val="FFFFFF"/>
              </w:rPr>
              <w:t>Insurance</w:t>
            </w:r>
          </w:p>
        </w:tc>
      </w:tr>
      <w:tr>
        <w:trPr>
          <w:trHeight w:val="162"/>
        </w:trPr>
        <w:tc>
          <w:tcPr>
            <w:tcW w:w="2040" w:type="dxa"/>
            <w:vAlign w:val="bottom"/>
            <w:shd w:val="clear" w:color="auto" w:fill="212322"/>
          </w:tcPr>
          <w:p>
            <w:pPr>
              <w:spacing w:after="0"/>
              <w:rPr>
                <w:sz w:val="14"/>
                <w:szCs w:val="14"/>
                <w:color w:val="auto"/>
              </w:rPr>
            </w:pPr>
          </w:p>
        </w:tc>
        <w:tc>
          <w:tcPr>
            <w:tcW w:w="220" w:type="dxa"/>
            <w:vAlign w:val="bottom"/>
            <w:shd w:val="clear" w:color="auto" w:fill="212322"/>
          </w:tcPr>
          <w:p>
            <w:pPr>
              <w:spacing w:after="0"/>
              <w:rPr>
                <w:sz w:val="14"/>
                <w:szCs w:val="14"/>
                <w:color w:val="auto"/>
              </w:rPr>
            </w:pPr>
          </w:p>
        </w:tc>
        <w:tc>
          <w:tcPr>
            <w:tcW w:w="520" w:type="dxa"/>
            <w:vAlign w:val="bottom"/>
            <w:shd w:val="clear" w:color="auto" w:fill="212322"/>
          </w:tcPr>
          <w:p>
            <w:pPr>
              <w:spacing w:after="0"/>
              <w:rPr>
                <w:sz w:val="14"/>
                <w:szCs w:val="14"/>
                <w:color w:val="auto"/>
              </w:rPr>
            </w:pPr>
          </w:p>
        </w:tc>
        <w:tc>
          <w:tcPr>
            <w:tcW w:w="1260" w:type="dxa"/>
            <w:vAlign w:val="bottom"/>
            <w:shd w:val="clear" w:color="auto" w:fill="212322"/>
          </w:tcPr>
          <w:p>
            <w:pPr>
              <w:jc w:val="center"/>
              <w:ind w:left="79"/>
              <w:spacing w:after="0"/>
              <w:rPr>
                <w:sz w:val="20"/>
                <w:szCs w:val="20"/>
                <w:color w:val="auto"/>
              </w:rPr>
            </w:pPr>
            <w:r>
              <w:rPr>
                <w:rFonts w:ascii="Arial" w:cs="Arial" w:eastAsia="Arial" w:hAnsi="Arial"/>
                <w:sz w:val="14"/>
                <w:szCs w:val="14"/>
                <w:b w:val="1"/>
                <w:bCs w:val="1"/>
                <w:color w:val="FFFFFF"/>
              </w:rPr>
              <w:t>Benefits</w:t>
            </w:r>
          </w:p>
        </w:tc>
        <w:tc>
          <w:tcPr>
            <w:tcW w:w="1060" w:type="dxa"/>
            <w:vAlign w:val="bottom"/>
            <w:shd w:val="clear" w:color="auto" w:fill="212322"/>
          </w:tcPr>
          <w:p>
            <w:pPr>
              <w:ind w:left="220"/>
              <w:spacing w:after="0"/>
              <w:rPr>
                <w:sz w:val="20"/>
                <w:szCs w:val="20"/>
                <w:color w:val="auto"/>
              </w:rPr>
            </w:pPr>
            <w:r>
              <w:rPr>
                <w:rFonts w:ascii="Arial" w:cs="Arial" w:eastAsia="Arial" w:hAnsi="Arial"/>
                <w:sz w:val="14"/>
                <w:szCs w:val="14"/>
                <w:b w:val="1"/>
                <w:bCs w:val="1"/>
                <w:color w:val="FFFFFF"/>
              </w:rPr>
              <w:t>Relocation</w:t>
            </w:r>
          </w:p>
        </w:tc>
        <w:tc>
          <w:tcPr>
            <w:tcW w:w="10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Contributions</w:t>
            </w:r>
          </w:p>
        </w:tc>
        <w:tc>
          <w:tcPr>
            <w:tcW w:w="94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Income</w:t>
            </w:r>
          </w:p>
        </w:tc>
        <w:tc>
          <w:tcPr>
            <w:tcW w:w="1120" w:type="dxa"/>
            <w:vAlign w:val="bottom"/>
            <w:shd w:val="clear" w:color="auto" w:fill="212322"/>
          </w:tcPr>
          <w:p>
            <w:pPr>
              <w:jc w:val="center"/>
              <w:ind w:left="20"/>
              <w:spacing w:after="0"/>
              <w:rPr>
                <w:sz w:val="20"/>
                <w:szCs w:val="20"/>
                <w:color w:val="auto"/>
              </w:rPr>
            </w:pPr>
            <w:r>
              <w:rPr>
                <w:rFonts w:ascii="Arial" w:cs="Arial" w:eastAsia="Arial" w:hAnsi="Arial"/>
                <w:sz w:val="14"/>
                <w:szCs w:val="14"/>
                <w:b w:val="1"/>
                <w:bCs w:val="1"/>
                <w:color w:val="FFFFFF"/>
              </w:rPr>
              <w:t>Plans</w:t>
            </w:r>
          </w:p>
        </w:tc>
        <w:tc>
          <w:tcPr>
            <w:tcW w:w="92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Premiums</w:t>
            </w:r>
          </w:p>
        </w:tc>
      </w:tr>
      <w:tr>
        <w:trPr>
          <w:trHeight w:val="189"/>
        </w:trPr>
        <w:tc>
          <w:tcPr>
            <w:tcW w:w="204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Name</w:t>
            </w:r>
          </w:p>
        </w:tc>
        <w:tc>
          <w:tcPr>
            <w:tcW w:w="220" w:type="dxa"/>
            <w:vAlign w:val="bottom"/>
            <w:shd w:val="clear" w:color="auto" w:fill="212322"/>
          </w:tcPr>
          <w:p>
            <w:pPr>
              <w:spacing w:after="0"/>
              <w:rPr>
                <w:sz w:val="16"/>
                <w:szCs w:val="16"/>
                <w:color w:val="auto"/>
              </w:rPr>
            </w:pPr>
          </w:p>
        </w:tc>
        <w:tc>
          <w:tcPr>
            <w:tcW w:w="520" w:type="dxa"/>
            <w:vAlign w:val="bottom"/>
            <w:shd w:val="clear" w:color="auto" w:fill="212322"/>
          </w:tcPr>
          <w:p>
            <w:pPr>
              <w:spacing w:after="0"/>
              <w:rPr>
                <w:sz w:val="16"/>
                <w:szCs w:val="16"/>
                <w:color w:val="auto"/>
              </w:rPr>
            </w:pPr>
          </w:p>
        </w:tc>
        <w:tc>
          <w:tcPr>
            <w:tcW w:w="1260" w:type="dxa"/>
            <w:vAlign w:val="bottom"/>
            <w:shd w:val="clear" w:color="auto" w:fill="212322"/>
          </w:tcPr>
          <w:p>
            <w:pPr>
              <w:jc w:val="right"/>
              <w:ind w:right="319"/>
              <w:spacing w:after="0"/>
              <w:rPr>
                <w:sz w:val="20"/>
                <w:szCs w:val="20"/>
                <w:color w:val="auto"/>
              </w:rPr>
            </w:pPr>
            <w:r>
              <w:rPr>
                <w:rFonts w:ascii="Arial" w:cs="Arial" w:eastAsia="Arial" w:hAnsi="Arial"/>
                <w:sz w:val="14"/>
                <w:szCs w:val="14"/>
                <w:b w:val="1"/>
                <w:bCs w:val="1"/>
                <w:color w:val="FFFFFF"/>
              </w:rPr>
              <w:t>($)(A)</w:t>
            </w:r>
          </w:p>
        </w:tc>
        <w:tc>
          <w:tcPr>
            <w:tcW w:w="1060" w:type="dxa"/>
            <w:vAlign w:val="bottom"/>
            <w:shd w:val="clear" w:color="auto" w:fill="212322"/>
          </w:tcPr>
          <w:p>
            <w:pPr>
              <w:ind w:left="500"/>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w w:val="98"/>
              </w:rPr>
              <w:t>($)(B)</w:t>
            </w:r>
          </w:p>
        </w:tc>
        <w:tc>
          <w:tcPr>
            <w:tcW w:w="94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($)(C)</w:t>
            </w:r>
          </w:p>
        </w:tc>
        <w:tc>
          <w:tcPr>
            <w:tcW w:w="1120" w:type="dxa"/>
            <w:vAlign w:val="bottom"/>
            <w:shd w:val="clear" w:color="auto" w:fill="212322"/>
          </w:tcPr>
          <w:p>
            <w:pPr>
              <w:jc w:val="center"/>
              <w:ind w:left="20"/>
              <w:spacing w:after="0"/>
              <w:rPr>
                <w:sz w:val="20"/>
                <w:szCs w:val="20"/>
                <w:color w:val="auto"/>
              </w:rPr>
            </w:pPr>
            <w:r>
              <w:rPr>
                <w:rFonts w:ascii="Arial" w:cs="Arial" w:eastAsia="Arial" w:hAnsi="Arial"/>
                <w:sz w:val="14"/>
                <w:szCs w:val="14"/>
                <w:b w:val="1"/>
                <w:bCs w:val="1"/>
                <w:color w:val="FFFFFF"/>
              </w:rPr>
              <w:t>($)(D)</w:t>
            </w:r>
          </w:p>
        </w:tc>
        <w:tc>
          <w:tcPr>
            <w:tcW w:w="920" w:type="dxa"/>
            <w:vAlign w:val="bottom"/>
            <w:shd w:val="clear" w:color="auto" w:fill="212322"/>
          </w:tcPr>
          <w:p>
            <w:pPr>
              <w:jc w:val="center"/>
              <w:ind w:left="19"/>
              <w:spacing w:after="0"/>
              <w:rPr>
                <w:sz w:val="20"/>
                <w:szCs w:val="20"/>
                <w:color w:val="auto"/>
              </w:rPr>
            </w:pPr>
            <w:r>
              <w:rPr>
                <w:rFonts w:ascii="Arial" w:cs="Arial" w:eastAsia="Arial" w:hAnsi="Arial"/>
                <w:sz w:val="14"/>
                <w:szCs w:val="14"/>
                <w:b w:val="1"/>
                <w:bCs w:val="1"/>
                <w:color w:val="FFFFFF"/>
              </w:rPr>
              <w:t>($)</w:t>
            </w:r>
          </w:p>
        </w:tc>
      </w:tr>
      <w:tr>
        <w:trPr>
          <w:trHeight w:val="243"/>
        </w:trPr>
        <w:tc>
          <w:tcPr>
            <w:tcW w:w="226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b w:val="1"/>
                <w:bCs w:val="1"/>
                <w:color w:val="F37F00"/>
              </w:rPr>
              <w:t>Philip B. Daniele, III</w:t>
            </w: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2026</w:t>
            </w:r>
          </w:p>
        </w:tc>
        <w:tc>
          <w:tcPr>
            <w:tcW w:w="12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9,746</w:t>
            </w:r>
          </w:p>
        </w:tc>
        <w:tc>
          <w:tcPr>
            <w:tcW w:w="1060" w:type="dxa"/>
            <w:vAlign w:val="bottom"/>
            <w:tcBorders>
              <w:bottom w:val="single" w:sz="8" w:color="808080"/>
            </w:tcBorders>
          </w:tcPr>
          <w:p>
            <w:pPr>
              <w:ind w:left="760"/>
              <w:spacing w:after="0"/>
              <w:rPr>
                <w:sz w:val="20"/>
                <w:szCs w:val="20"/>
                <w:color w:val="auto"/>
              </w:rPr>
            </w:pPr>
            <w:r>
              <w:rPr>
                <w:rFonts w:ascii="Arial" w:cs="Arial" w:eastAsia="Arial" w:hAnsi="Arial"/>
                <w:sz w:val="18"/>
                <w:szCs w:val="18"/>
                <w:color w:val="202124"/>
              </w:rPr>
              <w:t>—</w:t>
            </w:r>
          </w:p>
        </w:tc>
        <w:tc>
          <w:tcPr>
            <w:tcW w:w="1080" w:type="dxa"/>
            <w:vAlign w:val="bottom"/>
            <w:tcBorders>
              <w:bottom w:val="single" w:sz="8" w:color="808080"/>
            </w:tcBorders>
          </w:tcPr>
          <w:p>
            <w:pPr>
              <w:jc w:val="right"/>
              <w:ind w:right="17"/>
              <w:spacing w:after="0"/>
              <w:rPr>
                <w:sz w:val="20"/>
                <w:szCs w:val="20"/>
                <w:color w:val="auto"/>
              </w:rPr>
            </w:pPr>
            <w:r>
              <w:rPr>
                <w:rFonts w:ascii="Arial" w:cs="Arial" w:eastAsia="Arial" w:hAnsi="Arial"/>
                <w:sz w:val="18"/>
                <w:szCs w:val="18"/>
                <w:color w:val="202124"/>
              </w:rPr>
              <w:t>37,065</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23,903</w:t>
            </w:r>
          </w:p>
        </w:tc>
        <w:tc>
          <w:tcPr>
            <w:tcW w:w="1120" w:type="dxa"/>
            <w:vAlign w:val="bottom"/>
            <w:tcBorders>
              <w:bottom w:val="single" w:sz="8" w:color="808080"/>
            </w:tcBorders>
          </w:tcPr>
          <w:p>
            <w:pPr>
              <w:jc w:val="right"/>
              <w:ind w:right="20"/>
              <w:spacing w:after="0"/>
              <w:rPr>
                <w:sz w:val="20"/>
                <w:szCs w:val="20"/>
                <w:color w:val="auto"/>
              </w:rPr>
            </w:pPr>
            <w:r>
              <w:rPr>
                <w:rFonts w:ascii="Arial" w:cs="Arial" w:eastAsia="Arial" w:hAnsi="Arial"/>
                <w:sz w:val="18"/>
                <w:szCs w:val="18"/>
                <w:color w:val="202124"/>
              </w:rPr>
              <w:t>89,695</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5,635</w:t>
            </w:r>
          </w:p>
        </w:tc>
      </w:tr>
      <w:tr>
        <w:trPr>
          <w:trHeight w:val="237"/>
        </w:trPr>
        <w:tc>
          <w:tcPr>
            <w:tcW w:w="226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b w:val="1"/>
                <w:bCs w:val="1"/>
                <w:color w:val="F37F00"/>
              </w:rPr>
              <w:t>Jamere Jackson</w:t>
            </w: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2026</w:t>
            </w:r>
          </w:p>
        </w:tc>
        <w:tc>
          <w:tcPr>
            <w:tcW w:w="12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6,121</w:t>
            </w:r>
          </w:p>
        </w:tc>
        <w:tc>
          <w:tcPr>
            <w:tcW w:w="1060" w:type="dxa"/>
            <w:vAlign w:val="bottom"/>
            <w:tcBorders>
              <w:bottom w:val="single" w:sz="8" w:color="808080"/>
            </w:tcBorders>
          </w:tcPr>
          <w:p>
            <w:pPr>
              <w:ind w:left="760"/>
              <w:spacing w:after="0"/>
              <w:rPr>
                <w:sz w:val="20"/>
                <w:szCs w:val="20"/>
                <w:color w:val="auto"/>
              </w:rPr>
            </w:pPr>
            <w:r>
              <w:rPr>
                <w:rFonts w:ascii="Arial" w:cs="Arial" w:eastAsia="Arial" w:hAnsi="Arial"/>
                <w:sz w:val="18"/>
                <w:szCs w:val="18"/>
                <w:color w:val="202124"/>
              </w:rPr>
              <w:t>—</w:t>
            </w:r>
          </w:p>
        </w:tc>
        <w:tc>
          <w:tcPr>
            <w:tcW w:w="1080" w:type="dxa"/>
            <w:vAlign w:val="bottom"/>
            <w:tcBorders>
              <w:bottom w:val="single" w:sz="8" w:color="808080"/>
            </w:tcBorders>
          </w:tcPr>
          <w:p>
            <w:pPr>
              <w:jc w:val="right"/>
              <w:ind w:right="17"/>
              <w:spacing w:after="0"/>
              <w:rPr>
                <w:sz w:val="20"/>
                <w:szCs w:val="20"/>
                <w:color w:val="auto"/>
              </w:rPr>
            </w:pPr>
            <w:r>
              <w:rPr>
                <w:rFonts w:ascii="Arial" w:cs="Arial" w:eastAsia="Arial" w:hAnsi="Arial"/>
                <w:sz w:val="18"/>
                <w:szCs w:val="18"/>
                <w:color w:val="202124"/>
              </w:rPr>
              <w:t>15,594</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16,183</w:t>
            </w:r>
          </w:p>
        </w:tc>
        <w:tc>
          <w:tcPr>
            <w:tcW w:w="1120" w:type="dxa"/>
            <w:vAlign w:val="bottom"/>
            <w:tcBorders>
              <w:bottom w:val="single" w:sz="8" w:color="808080"/>
            </w:tcBorders>
          </w:tcPr>
          <w:p>
            <w:pPr>
              <w:jc w:val="right"/>
              <w:ind w:right="20"/>
              <w:spacing w:after="0"/>
              <w:rPr>
                <w:sz w:val="20"/>
                <w:szCs w:val="20"/>
                <w:color w:val="auto"/>
              </w:rPr>
            </w:pPr>
            <w:r>
              <w:rPr>
                <w:rFonts w:ascii="Arial" w:cs="Arial" w:eastAsia="Arial" w:hAnsi="Arial"/>
                <w:sz w:val="18"/>
                <w:szCs w:val="18"/>
                <w:color w:val="202124"/>
              </w:rPr>
              <w:t>64,186</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4,247</w:t>
            </w:r>
          </w:p>
        </w:tc>
      </w:tr>
      <w:tr>
        <w:trPr>
          <w:trHeight w:val="236"/>
        </w:trPr>
        <w:tc>
          <w:tcPr>
            <w:tcW w:w="226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b w:val="1"/>
                <w:bCs w:val="1"/>
                <w:color w:val="F37F00"/>
              </w:rPr>
              <w:t>Thomas B. Newbern</w:t>
            </w: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2026</w:t>
            </w:r>
          </w:p>
        </w:tc>
        <w:tc>
          <w:tcPr>
            <w:tcW w:w="12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7,534</w:t>
            </w:r>
          </w:p>
        </w:tc>
        <w:tc>
          <w:tcPr>
            <w:tcW w:w="1060" w:type="dxa"/>
            <w:vAlign w:val="bottom"/>
            <w:tcBorders>
              <w:bottom w:val="single" w:sz="8" w:color="808080"/>
            </w:tcBorders>
          </w:tcPr>
          <w:p>
            <w:pPr>
              <w:ind w:left="760"/>
              <w:spacing w:after="0"/>
              <w:rPr>
                <w:sz w:val="20"/>
                <w:szCs w:val="20"/>
                <w:color w:val="auto"/>
              </w:rPr>
            </w:pPr>
            <w:r>
              <w:rPr>
                <w:rFonts w:ascii="Arial" w:cs="Arial" w:eastAsia="Arial" w:hAnsi="Arial"/>
                <w:sz w:val="18"/>
                <w:szCs w:val="18"/>
                <w:color w:val="202124"/>
              </w:rPr>
              <w:t>—</w:t>
            </w:r>
          </w:p>
        </w:tc>
        <w:tc>
          <w:tcPr>
            <w:tcW w:w="1080" w:type="dxa"/>
            <w:vAlign w:val="bottom"/>
            <w:tcBorders>
              <w:bottom w:val="single" w:sz="8" w:color="808080"/>
            </w:tcBorders>
          </w:tcPr>
          <w:p>
            <w:pPr>
              <w:jc w:val="right"/>
              <w:ind w:right="17"/>
              <w:spacing w:after="0"/>
              <w:rPr>
                <w:sz w:val="20"/>
                <w:szCs w:val="20"/>
                <w:color w:val="auto"/>
              </w:rPr>
            </w:pPr>
            <w:r>
              <w:rPr>
                <w:rFonts w:ascii="Arial" w:cs="Arial" w:eastAsia="Arial" w:hAnsi="Arial"/>
                <w:sz w:val="18"/>
                <w:szCs w:val="18"/>
                <w:color w:val="202124"/>
              </w:rPr>
              <w:t>3,500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27,131</w:t>
            </w:r>
          </w:p>
        </w:tc>
        <w:tc>
          <w:tcPr>
            <w:tcW w:w="1120" w:type="dxa"/>
            <w:vAlign w:val="bottom"/>
            <w:tcBorders>
              <w:bottom w:val="single" w:sz="8" w:color="808080"/>
            </w:tcBorders>
          </w:tcPr>
          <w:p>
            <w:pPr>
              <w:jc w:val="right"/>
              <w:ind w:right="20"/>
              <w:spacing w:after="0"/>
              <w:rPr>
                <w:sz w:val="20"/>
                <w:szCs w:val="20"/>
                <w:color w:val="auto"/>
              </w:rPr>
            </w:pPr>
            <w:r>
              <w:rPr>
                <w:rFonts w:ascii="Arial" w:cs="Arial" w:eastAsia="Arial" w:hAnsi="Arial"/>
                <w:sz w:val="18"/>
                <w:szCs w:val="18"/>
                <w:color w:val="202124"/>
              </w:rPr>
              <w:t>64,186</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4,238</w:t>
            </w:r>
          </w:p>
        </w:tc>
      </w:tr>
      <w:tr>
        <w:trPr>
          <w:trHeight w:val="237"/>
        </w:trPr>
        <w:tc>
          <w:tcPr>
            <w:tcW w:w="226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b w:val="1"/>
                <w:bCs w:val="1"/>
                <w:color w:val="F37F00"/>
              </w:rPr>
              <w:t>Eric S. Gould</w:t>
            </w: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2026</w:t>
            </w:r>
          </w:p>
        </w:tc>
        <w:tc>
          <w:tcPr>
            <w:tcW w:w="12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8,317</w:t>
            </w:r>
          </w:p>
        </w:tc>
        <w:tc>
          <w:tcPr>
            <w:tcW w:w="1060" w:type="dxa"/>
            <w:vAlign w:val="bottom"/>
            <w:tcBorders>
              <w:bottom w:val="single" w:sz="8" w:color="808080"/>
            </w:tcBorders>
          </w:tcPr>
          <w:p>
            <w:pPr>
              <w:ind w:left="760"/>
              <w:spacing w:after="0"/>
              <w:rPr>
                <w:sz w:val="20"/>
                <w:szCs w:val="20"/>
                <w:color w:val="auto"/>
              </w:rPr>
            </w:pPr>
            <w:r>
              <w:rPr>
                <w:rFonts w:ascii="Arial" w:cs="Arial" w:eastAsia="Arial" w:hAnsi="Arial"/>
                <w:sz w:val="18"/>
                <w:szCs w:val="18"/>
                <w:color w:val="202124"/>
              </w:rPr>
              <w:t>—</w:t>
            </w:r>
          </w:p>
        </w:tc>
        <w:tc>
          <w:tcPr>
            <w:tcW w:w="1080" w:type="dxa"/>
            <w:vAlign w:val="bottom"/>
            <w:tcBorders>
              <w:bottom w:val="single" w:sz="8" w:color="808080"/>
            </w:tcBorders>
          </w:tcPr>
          <w:p>
            <w:pPr>
              <w:jc w:val="right"/>
              <w:ind w:right="17"/>
              <w:spacing w:after="0"/>
              <w:rPr>
                <w:sz w:val="20"/>
                <w:szCs w:val="20"/>
                <w:color w:val="auto"/>
              </w:rPr>
            </w:pPr>
            <w:r>
              <w:rPr>
                <w:rFonts w:ascii="Arial" w:cs="Arial" w:eastAsia="Arial" w:hAnsi="Arial"/>
                <w:sz w:val="18"/>
                <w:szCs w:val="18"/>
                <w:color w:val="202124"/>
              </w:rPr>
              <w:t>7,500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8,878</w:t>
            </w:r>
          </w:p>
        </w:tc>
        <w:tc>
          <w:tcPr>
            <w:tcW w:w="1120" w:type="dxa"/>
            <w:vAlign w:val="bottom"/>
            <w:tcBorders>
              <w:bottom w:val="single" w:sz="8" w:color="808080"/>
            </w:tcBorders>
          </w:tcPr>
          <w:p>
            <w:pPr>
              <w:jc w:val="right"/>
              <w:ind w:right="20"/>
              <w:spacing w:after="0"/>
              <w:rPr>
                <w:sz w:val="20"/>
                <w:szCs w:val="20"/>
                <w:color w:val="auto"/>
              </w:rPr>
            </w:pPr>
            <w:r>
              <w:rPr>
                <w:rFonts w:ascii="Arial" w:cs="Arial" w:eastAsia="Arial" w:hAnsi="Arial"/>
                <w:sz w:val="18"/>
                <w:szCs w:val="18"/>
                <w:color w:val="202124"/>
              </w:rPr>
              <w:t>22,376</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1,755</w:t>
            </w:r>
          </w:p>
        </w:tc>
      </w:tr>
      <w:tr>
        <w:trPr>
          <w:trHeight w:val="257"/>
        </w:trPr>
        <w:tc>
          <w:tcPr>
            <w:tcW w:w="2260" w:type="dxa"/>
            <w:vAlign w:val="bottom"/>
            <w:tcBorders>
              <w:bottom w:val="single" w:sz="8" w:color="202124"/>
            </w:tcBorders>
            <w:gridSpan w:val="2"/>
          </w:tcPr>
          <w:p>
            <w:pPr>
              <w:spacing w:after="0"/>
              <w:rPr>
                <w:sz w:val="20"/>
                <w:szCs w:val="20"/>
                <w:color w:val="auto"/>
              </w:rPr>
            </w:pPr>
            <w:r>
              <w:rPr>
                <w:rFonts w:ascii="Arial" w:cs="Arial" w:eastAsia="Arial" w:hAnsi="Arial"/>
                <w:sz w:val="16"/>
                <w:szCs w:val="16"/>
                <w:b w:val="1"/>
                <w:bCs w:val="1"/>
                <w:color w:val="F37F00"/>
              </w:rPr>
              <w:t>Kenneth E. Jaycox, Jr.</w:t>
            </w:r>
          </w:p>
        </w:tc>
        <w:tc>
          <w:tcPr>
            <w:tcW w:w="52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2026</w:t>
            </w:r>
          </w:p>
        </w:tc>
        <w:tc>
          <w:tcPr>
            <w:tcW w:w="126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6,566</w:t>
            </w:r>
          </w:p>
        </w:tc>
        <w:tc>
          <w:tcPr>
            <w:tcW w:w="1060" w:type="dxa"/>
            <w:vAlign w:val="bottom"/>
            <w:tcBorders>
              <w:bottom w:val="single" w:sz="8" w:color="202124"/>
            </w:tcBorders>
          </w:tcPr>
          <w:p>
            <w:pPr>
              <w:ind w:left="760"/>
              <w:spacing w:after="0"/>
              <w:rPr>
                <w:sz w:val="20"/>
                <w:szCs w:val="20"/>
                <w:color w:val="auto"/>
              </w:rPr>
            </w:pPr>
            <w:r>
              <w:rPr>
                <w:rFonts w:ascii="Arial" w:cs="Arial" w:eastAsia="Arial" w:hAnsi="Arial"/>
                <w:sz w:val="18"/>
                <w:szCs w:val="18"/>
                <w:color w:val="202124"/>
              </w:rPr>
              <w:t>—</w:t>
            </w:r>
          </w:p>
        </w:tc>
        <w:tc>
          <w:tcPr>
            <w:tcW w:w="1080" w:type="dxa"/>
            <w:vAlign w:val="bottom"/>
            <w:tcBorders>
              <w:bottom w:val="single" w:sz="8" w:color="202124"/>
            </w:tcBorders>
          </w:tcPr>
          <w:p>
            <w:pPr>
              <w:jc w:val="right"/>
              <w:ind w:right="17"/>
              <w:spacing w:after="0"/>
              <w:rPr>
                <w:sz w:val="20"/>
                <w:szCs w:val="20"/>
                <w:color w:val="auto"/>
              </w:rPr>
            </w:pPr>
            <w:r>
              <w:rPr>
                <w:rFonts w:ascii="Arial" w:cs="Arial" w:eastAsia="Arial" w:hAnsi="Arial"/>
                <w:sz w:val="18"/>
                <w:szCs w:val="18"/>
                <w:color w:val="202124"/>
              </w:rPr>
              <w:t>7,200</w:t>
            </w:r>
          </w:p>
        </w:tc>
        <w:tc>
          <w:tcPr>
            <w:tcW w:w="94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9,333</w:t>
            </w:r>
          </w:p>
        </w:tc>
        <w:tc>
          <w:tcPr>
            <w:tcW w:w="1120" w:type="dxa"/>
            <w:vAlign w:val="bottom"/>
            <w:tcBorders>
              <w:bottom w:val="single" w:sz="8" w:color="202124"/>
            </w:tcBorders>
          </w:tcPr>
          <w:p>
            <w:pPr>
              <w:jc w:val="right"/>
              <w:ind w:right="20"/>
              <w:spacing w:after="0"/>
              <w:rPr>
                <w:sz w:val="20"/>
                <w:szCs w:val="20"/>
                <w:color w:val="auto"/>
              </w:rPr>
            </w:pPr>
            <w:r>
              <w:rPr>
                <w:rFonts w:ascii="Arial" w:cs="Arial" w:eastAsia="Arial" w:hAnsi="Arial"/>
                <w:sz w:val="18"/>
                <w:szCs w:val="18"/>
                <w:color w:val="202124"/>
              </w:rPr>
              <w:t>34,083</w:t>
            </w:r>
          </w:p>
        </w:tc>
        <w:tc>
          <w:tcPr>
            <w:tcW w:w="920" w:type="dxa"/>
            <w:vAlign w:val="bottom"/>
            <w:tcBorders>
              <w:bottom w:val="single" w:sz="8" w:color="202124"/>
            </w:tcBorders>
          </w:tcPr>
          <w:p>
            <w:pPr>
              <w:jc w:val="right"/>
              <w:spacing w:after="0"/>
              <w:rPr>
                <w:sz w:val="20"/>
                <w:szCs w:val="20"/>
                <w:color w:val="auto"/>
              </w:rPr>
            </w:pPr>
            <w:r>
              <w:rPr>
                <w:rFonts w:ascii="Arial" w:cs="Arial" w:eastAsia="Arial" w:hAnsi="Arial"/>
                <w:sz w:val="18"/>
                <w:szCs w:val="18"/>
                <w:color w:val="202124"/>
              </w:rPr>
              <w:t>1,876</w:t>
            </w:r>
          </w:p>
        </w:tc>
      </w:tr>
    </w:tbl>
    <w:p>
      <w:pPr>
        <w:spacing w:after="0" w:line="67" w:lineRule="exact"/>
        <w:rPr>
          <w:sz w:val="20"/>
          <w:szCs w:val="20"/>
          <w:color w:val="auto"/>
        </w:rPr>
      </w:pPr>
    </w:p>
    <w:p>
      <w:pPr>
        <w:jc w:val="both"/>
        <w:ind w:left="1320" w:right="160" w:hanging="325"/>
        <w:spacing w:after="0" w:line="266" w:lineRule="auto"/>
        <w:tabs>
          <w:tab w:leader="none" w:pos="1320" w:val="left"/>
        </w:tabs>
        <w:numPr>
          <w:ilvl w:val="1"/>
          <w:numId w:val="91"/>
        </w:numPr>
        <w:rPr>
          <w:rFonts w:ascii="Arial" w:cs="Arial" w:eastAsia="Arial" w:hAnsi="Arial"/>
          <w:sz w:val="12"/>
          <w:szCs w:val="12"/>
          <w:color w:val="202124"/>
        </w:rPr>
      </w:pPr>
      <w:r>
        <w:rPr>
          <w:rFonts w:ascii="Arial" w:cs="Arial" w:eastAsia="Arial" w:hAnsi="Arial"/>
          <w:sz w:val="16"/>
          <w:szCs w:val="16"/>
          <w:color w:val="202124"/>
        </w:rPr>
        <w:t>Perquisites and personal benefits for all NEOs include Company-provided home security system and/or monitoring services, airline club memberships and status upgrades, Company-paid spouse business-related travel and Company-paid long-term disability insurance premiums.</w:t>
      </w:r>
    </w:p>
    <w:p>
      <w:pPr>
        <w:spacing w:after="0" w:line="49" w:lineRule="exact"/>
        <w:rPr>
          <w:rFonts w:ascii="Arial" w:cs="Arial" w:eastAsia="Arial" w:hAnsi="Arial"/>
          <w:sz w:val="12"/>
          <w:szCs w:val="12"/>
          <w:color w:val="202124"/>
        </w:rPr>
      </w:pPr>
    </w:p>
    <w:p>
      <w:pPr>
        <w:ind w:left="1320" w:right="40" w:hanging="325"/>
        <w:spacing w:after="0" w:line="266" w:lineRule="auto"/>
        <w:tabs>
          <w:tab w:leader="none" w:pos="1320" w:val="left"/>
        </w:tabs>
        <w:numPr>
          <w:ilvl w:val="1"/>
          <w:numId w:val="91"/>
        </w:numPr>
        <w:rPr>
          <w:rFonts w:ascii="Arial" w:cs="Arial" w:eastAsia="Arial" w:hAnsi="Arial"/>
          <w:sz w:val="12"/>
          <w:szCs w:val="12"/>
          <w:color w:val="202124"/>
        </w:rPr>
      </w:pPr>
      <w:r>
        <w:rPr>
          <w:rFonts w:ascii="Arial" w:cs="Arial" w:eastAsia="Arial" w:hAnsi="Arial"/>
          <w:sz w:val="16"/>
          <w:szCs w:val="16"/>
          <w:color w:val="202124"/>
        </w:rPr>
        <w:t>Matching charitable contributions made under the AutoZone Matching Gift program, under which executives may contribute to qualified charitable organizations and AutoZone provides a matching contribution to the charities in an equal amount, up to $50,000 in the aggregate for each executive committee member annually.</w:t>
      </w:r>
    </w:p>
    <w:p>
      <w:pPr>
        <w:spacing w:after="0" w:line="36" w:lineRule="exact"/>
        <w:rPr>
          <w:rFonts w:ascii="Arial" w:cs="Arial" w:eastAsia="Arial" w:hAnsi="Arial"/>
          <w:sz w:val="12"/>
          <w:szCs w:val="12"/>
          <w:color w:val="202124"/>
        </w:rPr>
      </w:pPr>
    </w:p>
    <w:p>
      <w:pPr>
        <w:ind w:left="1320" w:hanging="325"/>
        <w:spacing w:after="0"/>
        <w:tabs>
          <w:tab w:leader="none" w:pos="1320" w:val="left"/>
        </w:tabs>
        <w:numPr>
          <w:ilvl w:val="1"/>
          <w:numId w:val="91"/>
        </w:numPr>
        <w:rPr>
          <w:rFonts w:ascii="Arial" w:cs="Arial" w:eastAsia="Arial" w:hAnsi="Arial"/>
          <w:sz w:val="12"/>
          <w:szCs w:val="12"/>
          <w:color w:val="202124"/>
        </w:rPr>
      </w:pPr>
      <w:r>
        <w:rPr>
          <w:rFonts w:ascii="Arial" w:cs="Arial" w:eastAsia="Arial" w:hAnsi="Arial"/>
          <w:sz w:val="16"/>
          <w:szCs w:val="16"/>
          <w:color w:val="202124"/>
        </w:rPr>
        <w:t>Represents amounts related to imputed earnings on company-paid, taxable life insurance and miscellaneous other items.</w:t>
      </w:r>
    </w:p>
    <w:p>
      <w:pPr>
        <w:spacing w:after="0" w:line="99" w:lineRule="exact"/>
        <w:rPr>
          <w:rFonts w:ascii="Arial" w:cs="Arial" w:eastAsia="Arial" w:hAnsi="Arial"/>
          <w:sz w:val="12"/>
          <w:szCs w:val="12"/>
          <w:color w:val="202124"/>
        </w:rPr>
      </w:pPr>
    </w:p>
    <w:p>
      <w:pPr>
        <w:ind w:left="1320" w:right="1000" w:hanging="325"/>
        <w:spacing w:after="0" w:line="256" w:lineRule="auto"/>
        <w:tabs>
          <w:tab w:leader="none" w:pos="1320" w:val="left"/>
        </w:tabs>
        <w:numPr>
          <w:ilvl w:val="1"/>
          <w:numId w:val="91"/>
        </w:numPr>
        <w:rPr>
          <w:rFonts w:ascii="Arial" w:cs="Arial" w:eastAsia="Arial" w:hAnsi="Arial"/>
          <w:sz w:val="12"/>
          <w:szCs w:val="12"/>
          <w:color w:val="202124"/>
        </w:rPr>
      </w:pPr>
      <w:r>
        <w:rPr>
          <w:rFonts w:ascii="Arial" w:cs="Arial" w:eastAsia="Arial" w:hAnsi="Arial"/>
          <w:sz w:val="16"/>
          <w:szCs w:val="16"/>
          <w:color w:val="202124"/>
        </w:rPr>
        <w:t>Represents employer contributions to the AutoZone, Inc. 401(k) Plan and the AutoZone, Inc. Executive Deferred Compensation Plan.</w:t>
      </w:r>
    </w:p>
    <w:p>
      <w:pPr>
        <w:spacing w:after="0" w:line="1" w:lineRule="exact"/>
        <w:rPr>
          <w:rFonts w:ascii="Arial" w:cs="Arial" w:eastAsia="Arial" w:hAnsi="Arial"/>
          <w:sz w:val="12"/>
          <w:szCs w:val="12"/>
          <w:color w:val="202124"/>
        </w:rPr>
      </w:pPr>
    </w:p>
    <w:p>
      <w:pPr>
        <w:ind w:left="960" w:hanging="316"/>
        <w:spacing w:after="0"/>
        <w:tabs>
          <w:tab w:leader="none" w:pos="960" w:val="left"/>
        </w:tabs>
        <w:numPr>
          <w:ilvl w:val="0"/>
          <w:numId w:val="92"/>
        </w:numPr>
        <w:rPr>
          <w:rFonts w:ascii="Arial" w:cs="Arial" w:eastAsia="Arial" w:hAnsi="Arial"/>
          <w:sz w:val="12"/>
          <w:szCs w:val="12"/>
          <w:color w:val="202124"/>
        </w:rPr>
      </w:pPr>
      <w:r>
        <w:rPr>
          <w:rFonts w:ascii="Arial" w:cs="Arial" w:eastAsia="Arial" w:hAnsi="Arial"/>
          <w:sz w:val="16"/>
          <w:szCs w:val="16"/>
          <w:color w:val="202124"/>
        </w:rPr>
        <w:t>Mr. Jackson resigned as Chief Financial Officer effective November 25, 2026.</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62   </w:t>
      </w:r>
      <w:r>
        <w:rPr>
          <w:sz w:val="1"/>
          <w:szCs w:val="1"/>
          <w:color w:val="auto"/>
        </w:rPr>
        <w:drawing>
          <wp:inline distT="0" distB="0" distL="0" distR="0">
            <wp:extent cx="116586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65" w:name="page66"/>
    <w:bookmarkEnd w:id="6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Grants of Plan-Based Awards</w:t>
      </w:r>
    </w:p>
    <w:p>
      <w:pPr>
        <w:spacing w:after="0" w:line="111" w:lineRule="exact"/>
        <w:rPr>
          <w:sz w:val="20"/>
          <w:szCs w:val="20"/>
          <w:color w:val="auto"/>
        </w:rPr>
      </w:pPr>
    </w:p>
    <w:p>
      <w:pPr>
        <w:ind w:left="640" w:right="160"/>
        <w:spacing w:after="0" w:line="253" w:lineRule="auto"/>
        <w:rPr>
          <w:sz w:val="20"/>
          <w:szCs w:val="20"/>
          <w:color w:val="auto"/>
        </w:rPr>
      </w:pPr>
      <w:r>
        <w:rPr>
          <w:rFonts w:ascii="Arial" w:cs="Arial" w:eastAsia="Arial" w:hAnsi="Arial"/>
          <w:sz w:val="18"/>
          <w:szCs w:val="18"/>
          <w:color w:val="202124"/>
        </w:rPr>
        <w:t>The following table sets forth information regarding plan-based awards granted to the Company’s NEOs during the 2026 fiscal year. See “Compensation Discussion and Analysis” beginning on page 55 for additional information on each of these awards.</w:t>
      </w:r>
    </w:p>
    <w:p>
      <w:pPr>
        <w:spacing w:after="0" w:line="120"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1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spacing w:after="0"/>
              <w:rPr>
                <w:sz w:val="16"/>
                <w:szCs w:val="16"/>
                <w:color w:val="auto"/>
              </w:rPr>
            </w:pPr>
          </w:p>
        </w:tc>
        <w:tc>
          <w:tcPr>
            <w:tcW w:w="240" w:type="dxa"/>
            <w:vAlign w:val="bottom"/>
            <w:shd w:val="clear" w:color="auto" w:fill="212322"/>
          </w:tcPr>
          <w:p>
            <w:pPr>
              <w:spacing w:after="0"/>
              <w:rPr>
                <w:sz w:val="16"/>
                <w:szCs w:val="16"/>
                <w:color w:val="auto"/>
              </w:rPr>
            </w:pPr>
          </w:p>
        </w:tc>
        <w:tc>
          <w:tcPr>
            <w:tcW w:w="740" w:type="dxa"/>
            <w:vAlign w:val="bottom"/>
            <w:shd w:val="clear" w:color="auto" w:fill="212322"/>
          </w:tcPr>
          <w:p>
            <w:pPr>
              <w:spacing w:after="0"/>
              <w:rPr>
                <w:sz w:val="16"/>
                <w:szCs w:val="16"/>
                <w:color w:val="auto"/>
              </w:rPr>
            </w:pPr>
          </w:p>
        </w:tc>
        <w:tc>
          <w:tcPr>
            <w:tcW w:w="220" w:type="dxa"/>
            <w:vAlign w:val="bottom"/>
            <w:shd w:val="clear" w:color="auto" w:fill="212322"/>
          </w:tcPr>
          <w:p>
            <w:pPr>
              <w:spacing w:after="0"/>
              <w:rPr>
                <w:sz w:val="16"/>
                <w:szCs w:val="16"/>
                <w:color w:val="auto"/>
              </w:rPr>
            </w:pPr>
          </w:p>
        </w:tc>
        <w:tc>
          <w:tcPr>
            <w:tcW w:w="74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All Other</w:t>
            </w: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All Other</w:t>
            </w:r>
          </w:p>
        </w:tc>
        <w:tc>
          <w:tcPr>
            <w:tcW w:w="200" w:type="dxa"/>
            <w:vAlign w:val="bottom"/>
            <w:shd w:val="clear" w:color="auto" w:fill="212322"/>
          </w:tcPr>
          <w:p>
            <w:pPr>
              <w:spacing w:after="0"/>
              <w:rPr>
                <w:sz w:val="16"/>
                <w:szCs w:val="16"/>
                <w:color w:val="auto"/>
              </w:rPr>
            </w:pPr>
          </w:p>
        </w:tc>
        <w:tc>
          <w:tcPr>
            <w:tcW w:w="720" w:type="dxa"/>
            <w:vAlign w:val="bottom"/>
            <w:shd w:val="clear" w:color="auto" w:fill="212322"/>
          </w:tcPr>
          <w:p>
            <w:pPr>
              <w:spacing w:after="0"/>
              <w:rPr>
                <w:sz w:val="16"/>
                <w:szCs w:val="16"/>
                <w:color w:val="auto"/>
              </w:rPr>
            </w:pPr>
          </w:p>
        </w:tc>
        <w:tc>
          <w:tcPr>
            <w:tcW w:w="180" w:type="dxa"/>
            <w:vAlign w:val="bottom"/>
            <w:shd w:val="clear" w:color="auto" w:fill="212322"/>
          </w:tcPr>
          <w:p>
            <w:pPr>
              <w:spacing w:after="0"/>
              <w:rPr>
                <w:sz w:val="16"/>
                <w:szCs w:val="16"/>
                <w:color w:val="auto"/>
              </w:rPr>
            </w:pPr>
          </w:p>
        </w:tc>
        <w:tc>
          <w:tcPr>
            <w:tcW w:w="40" w:type="dxa"/>
            <w:vAlign w:val="bottom"/>
            <w:shd w:val="clear" w:color="auto" w:fill="212322"/>
          </w:tcPr>
          <w:p>
            <w:pPr>
              <w:spacing w:after="0"/>
              <w:rPr>
                <w:sz w:val="16"/>
                <w:szCs w:val="16"/>
                <w:color w:val="auto"/>
              </w:rPr>
            </w:pPr>
          </w:p>
        </w:tc>
        <w:tc>
          <w:tcPr>
            <w:tcW w:w="760" w:type="dxa"/>
            <w:vAlign w:val="bottom"/>
            <w:shd w:val="clear" w:color="auto" w:fill="21232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spacing w:after="0"/>
              <w:rPr>
                <w:sz w:val="16"/>
                <w:szCs w:val="16"/>
                <w:color w:val="auto"/>
              </w:rPr>
            </w:pPr>
          </w:p>
        </w:tc>
        <w:tc>
          <w:tcPr>
            <w:tcW w:w="240" w:type="dxa"/>
            <w:vAlign w:val="bottom"/>
            <w:shd w:val="clear" w:color="auto" w:fill="212322"/>
          </w:tcPr>
          <w:p>
            <w:pPr>
              <w:spacing w:after="0"/>
              <w:rPr>
                <w:sz w:val="16"/>
                <w:szCs w:val="16"/>
                <w:color w:val="auto"/>
              </w:rPr>
            </w:pPr>
          </w:p>
        </w:tc>
        <w:tc>
          <w:tcPr>
            <w:tcW w:w="740" w:type="dxa"/>
            <w:vAlign w:val="bottom"/>
            <w:shd w:val="clear" w:color="auto" w:fill="212322"/>
          </w:tcPr>
          <w:p>
            <w:pPr>
              <w:spacing w:after="0"/>
              <w:rPr>
                <w:sz w:val="16"/>
                <w:szCs w:val="16"/>
                <w:color w:val="auto"/>
              </w:rPr>
            </w:pPr>
          </w:p>
        </w:tc>
        <w:tc>
          <w:tcPr>
            <w:tcW w:w="220" w:type="dxa"/>
            <w:vAlign w:val="bottom"/>
            <w:shd w:val="clear" w:color="auto" w:fill="212322"/>
          </w:tcPr>
          <w:p>
            <w:pPr>
              <w:spacing w:after="0"/>
              <w:rPr>
                <w:sz w:val="16"/>
                <w:szCs w:val="16"/>
                <w:color w:val="auto"/>
              </w:rPr>
            </w:pPr>
          </w:p>
        </w:tc>
        <w:tc>
          <w:tcPr>
            <w:tcW w:w="74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Stock</w:t>
            </w: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Option</w:t>
            </w:r>
          </w:p>
        </w:tc>
        <w:tc>
          <w:tcPr>
            <w:tcW w:w="200" w:type="dxa"/>
            <w:vAlign w:val="bottom"/>
            <w:shd w:val="clear" w:color="auto" w:fill="212322"/>
          </w:tcPr>
          <w:p>
            <w:pPr>
              <w:spacing w:after="0"/>
              <w:rPr>
                <w:sz w:val="16"/>
                <w:szCs w:val="16"/>
                <w:color w:val="auto"/>
              </w:rPr>
            </w:pPr>
          </w:p>
        </w:tc>
        <w:tc>
          <w:tcPr>
            <w:tcW w:w="720" w:type="dxa"/>
            <w:vAlign w:val="bottom"/>
            <w:shd w:val="clear" w:color="auto" w:fill="212322"/>
          </w:tcPr>
          <w:p>
            <w:pPr>
              <w:spacing w:after="0"/>
              <w:rPr>
                <w:sz w:val="16"/>
                <w:szCs w:val="16"/>
                <w:color w:val="auto"/>
              </w:rPr>
            </w:pPr>
          </w:p>
        </w:tc>
        <w:tc>
          <w:tcPr>
            <w:tcW w:w="180" w:type="dxa"/>
            <w:vAlign w:val="bottom"/>
            <w:shd w:val="clear" w:color="auto" w:fill="212322"/>
          </w:tcPr>
          <w:p>
            <w:pPr>
              <w:spacing w:after="0"/>
              <w:rPr>
                <w:sz w:val="16"/>
                <w:szCs w:val="16"/>
                <w:color w:val="auto"/>
              </w:rPr>
            </w:pPr>
          </w:p>
        </w:tc>
        <w:tc>
          <w:tcPr>
            <w:tcW w:w="4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89"/>
        </w:trPr>
        <w:tc>
          <w:tcPr>
            <w:tcW w:w="1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spacing w:after="0"/>
              <w:rPr>
                <w:sz w:val="16"/>
                <w:szCs w:val="16"/>
                <w:color w:val="auto"/>
              </w:rPr>
            </w:pPr>
          </w:p>
        </w:tc>
        <w:tc>
          <w:tcPr>
            <w:tcW w:w="240" w:type="dxa"/>
            <w:vAlign w:val="bottom"/>
            <w:shd w:val="clear" w:color="auto" w:fill="212322"/>
          </w:tcPr>
          <w:p>
            <w:pPr>
              <w:spacing w:after="0"/>
              <w:rPr>
                <w:sz w:val="16"/>
                <w:szCs w:val="16"/>
                <w:color w:val="auto"/>
              </w:rPr>
            </w:pPr>
          </w:p>
        </w:tc>
        <w:tc>
          <w:tcPr>
            <w:tcW w:w="740" w:type="dxa"/>
            <w:vAlign w:val="bottom"/>
            <w:shd w:val="clear" w:color="auto" w:fill="212322"/>
          </w:tcPr>
          <w:p>
            <w:pPr>
              <w:spacing w:after="0"/>
              <w:rPr>
                <w:sz w:val="16"/>
                <w:szCs w:val="16"/>
                <w:color w:val="auto"/>
              </w:rPr>
            </w:pPr>
          </w:p>
        </w:tc>
        <w:tc>
          <w:tcPr>
            <w:tcW w:w="220" w:type="dxa"/>
            <w:vAlign w:val="bottom"/>
            <w:shd w:val="clear" w:color="auto" w:fill="212322"/>
          </w:tcPr>
          <w:p>
            <w:pPr>
              <w:spacing w:after="0"/>
              <w:rPr>
                <w:sz w:val="16"/>
                <w:szCs w:val="16"/>
                <w:color w:val="auto"/>
              </w:rPr>
            </w:pPr>
          </w:p>
        </w:tc>
        <w:tc>
          <w:tcPr>
            <w:tcW w:w="74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Awards:</w:t>
            </w: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Awards:</w:t>
            </w:r>
          </w:p>
        </w:tc>
        <w:tc>
          <w:tcPr>
            <w:tcW w:w="200" w:type="dxa"/>
            <w:vAlign w:val="bottom"/>
            <w:shd w:val="clear" w:color="auto" w:fill="212322"/>
          </w:tcPr>
          <w:p>
            <w:pPr>
              <w:spacing w:after="0"/>
              <w:rPr>
                <w:sz w:val="16"/>
                <w:szCs w:val="16"/>
                <w:color w:val="auto"/>
              </w:rPr>
            </w:pPr>
          </w:p>
        </w:tc>
        <w:tc>
          <w:tcPr>
            <w:tcW w:w="72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Exercise</w:t>
            </w:r>
          </w:p>
        </w:tc>
        <w:tc>
          <w:tcPr>
            <w:tcW w:w="180" w:type="dxa"/>
            <w:vAlign w:val="bottom"/>
            <w:shd w:val="clear" w:color="auto" w:fill="212322"/>
          </w:tcPr>
          <w:p>
            <w:pPr>
              <w:spacing w:after="0"/>
              <w:rPr>
                <w:sz w:val="16"/>
                <w:szCs w:val="16"/>
                <w:color w:val="auto"/>
              </w:rPr>
            </w:pPr>
          </w:p>
        </w:tc>
        <w:tc>
          <w:tcPr>
            <w:tcW w:w="4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89"/>
        </w:trPr>
        <w:tc>
          <w:tcPr>
            <w:tcW w:w="1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2720" w:type="dxa"/>
            <w:vAlign w:val="bottom"/>
            <w:gridSpan w:val="5"/>
            <w:shd w:val="clear" w:color="auto" w:fill="212322"/>
          </w:tcPr>
          <w:p>
            <w:pPr>
              <w:jc w:val="center"/>
              <w:spacing w:after="0"/>
              <w:rPr>
                <w:sz w:val="20"/>
                <w:szCs w:val="20"/>
                <w:color w:val="auto"/>
              </w:rPr>
            </w:pPr>
            <w:r>
              <w:rPr>
                <w:rFonts w:ascii="Arial" w:cs="Arial" w:eastAsia="Arial" w:hAnsi="Arial"/>
                <w:sz w:val="14"/>
                <w:szCs w:val="14"/>
                <w:b w:val="1"/>
                <w:bCs w:val="1"/>
                <w:color w:val="FFFFFF"/>
              </w:rPr>
              <w:t>Estimated Future Payments</w:t>
            </w:r>
          </w:p>
        </w:tc>
        <w:tc>
          <w:tcPr>
            <w:tcW w:w="200" w:type="dxa"/>
            <w:vAlign w:val="bottom"/>
            <w:shd w:val="clear" w:color="auto" w:fill="212322"/>
          </w:tcPr>
          <w:p>
            <w:pPr>
              <w:spacing w:after="0"/>
              <w:rPr>
                <w:sz w:val="16"/>
                <w:szCs w:val="16"/>
                <w:color w:val="auto"/>
              </w:rPr>
            </w:pPr>
          </w:p>
        </w:tc>
        <w:tc>
          <w:tcPr>
            <w:tcW w:w="960" w:type="dxa"/>
            <w:vAlign w:val="bottom"/>
            <w:gridSpan w:val="2"/>
            <w:shd w:val="clear" w:color="auto" w:fill="212322"/>
          </w:tcPr>
          <w:p>
            <w:pPr>
              <w:ind w:left="40"/>
              <w:spacing w:after="0"/>
              <w:rPr>
                <w:sz w:val="20"/>
                <w:szCs w:val="20"/>
                <w:color w:val="auto"/>
              </w:rPr>
            </w:pPr>
            <w:r>
              <w:rPr>
                <w:rFonts w:ascii="Arial" w:cs="Arial" w:eastAsia="Arial" w:hAnsi="Arial"/>
                <w:sz w:val="14"/>
                <w:szCs w:val="14"/>
                <w:b w:val="1"/>
                <w:bCs w:val="1"/>
                <w:color w:val="FFFFFF"/>
              </w:rPr>
              <w:t>Number of</w:t>
            </w: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Number of</w:t>
            </w:r>
          </w:p>
        </w:tc>
        <w:tc>
          <w:tcPr>
            <w:tcW w:w="200" w:type="dxa"/>
            <w:vAlign w:val="bottom"/>
            <w:shd w:val="clear" w:color="auto" w:fill="212322"/>
          </w:tcPr>
          <w:p>
            <w:pPr>
              <w:spacing w:after="0"/>
              <w:rPr>
                <w:sz w:val="16"/>
                <w:szCs w:val="16"/>
                <w:color w:val="auto"/>
              </w:rPr>
            </w:pPr>
          </w:p>
        </w:tc>
        <w:tc>
          <w:tcPr>
            <w:tcW w:w="72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or Base</w:t>
            </w:r>
          </w:p>
        </w:tc>
        <w:tc>
          <w:tcPr>
            <w:tcW w:w="180" w:type="dxa"/>
            <w:vAlign w:val="bottom"/>
            <w:shd w:val="clear" w:color="auto" w:fill="212322"/>
          </w:tcPr>
          <w:p>
            <w:pPr>
              <w:spacing w:after="0"/>
              <w:rPr>
                <w:sz w:val="16"/>
                <w:szCs w:val="16"/>
                <w:color w:val="auto"/>
              </w:rPr>
            </w:pPr>
          </w:p>
        </w:tc>
        <w:tc>
          <w:tcPr>
            <w:tcW w:w="40" w:type="dxa"/>
            <w:vAlign w:val="bottom"/>
            <w:shd w:val="clear" w:color="auto" w:fill="212322"/>
          </w:tcPr>
          <w:p>
            <w:pPr>
              <w:spacing w:after="0"/>
              <w:rPr>
                <w:sz w:val="16"/>
                <w:szCs w:val="16"/>
                <w:color w:val="auto"/>
              </w:rPr>
            </w:pPr>
          </w:p>
        </w:tc>
        <w:tc>
          <w:tcPr>
            <w:tcW w:w="760" w:type="dxa"/>
            <w:vAlign w:val="bottom"/>
            <w:shd w:val="clear" w:color="auto" w:fill="212322"/>
          </w:tcPr>
          <w:p>
            <w:pPr>
              <w:jc w:val="center"/>
              <w:ind w:right="8"/>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89"/>
        </w:trPr>
        <w:tc>
          <w:tcPr>
            <w:tcW w:w="1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8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2720" w:type="dxa"/>
            <w:vAlign w:val="bottom"/>
            <w:gridSpan w:val="5"/>
            <w:shd w:val="clear" w:color="auto" w:fill="212322"/>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20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Shares of</w:t>
            </w: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Securities</w:t>
            </w:r>
          </w:p>
        </w:tc>
        <w:tc>
          <w:tcPr>
            <w:tcW w:w="200" w:type="dxa"/>
            <w:vAlign w:val="bottom"/>
            <w:shd w:val="clear" w:color="auto" w:fill="212322"/>
          </w:tcPr>
          <w:p>
            <w:pPr>
              <w:spacing w:after="0"/>
              <w:rPr>
                <w:sz w:val="16"/>
                <w:szCs w:val="16"/>
                <w:color w:val="auto"/>
              </w:rPr>
            </w:pPr>
          </w:p>
        </w:tc>
        <w:tc>
          <w:tcPr>
            <w:tcW w:w="72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Price of</w:t>
            </w:r>
          </w:p>
        </w:tc>
        <w:tc>
          <w:tcPr>
            <w:tcW w:w="180" w:type="dxa"/>
            <w:vAlign w:val="bottom"/>
            <w:shd w:val="clear" w:color="auto" w:fill="212322"/>
          </w:tcPr>
          <w:p>
            <w:pPr>
              <w:spacing w:after="0"/>
              <w:rPr>
                <w:sz w:val="16"/>
                <w:szCs w:val="16"/>
                <w:color w:val="auto"/>
              </w:rPr>
            </w:pPr>
          </w:p>
        </w:tc>
        <w:tc>
          <w:tcPr>
            <w:tcW w:w="40" w:type="dxa"/>
            <w:vAlign w:val="bottom"/>
            <w:shd w:val="clear" w:color="auto" w:fill="212322"/>
          </w:tcPr>
          <w:p>
            <w:pPr>
              <w:spacing w:after="0"/>
              <w:rPr>
                <w:sz w:val="16"/>
                <w:szCs w:val="16"/>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Stock and</w:t>
            </w:r>
          </w:p>
        </w:tc>
        <w:tc>
          <w:tcPr>
            <w:tcW w:w="0" w:type="dxa"/>
            <w:vAlign w:val="bottom"/>
          </w:tcPr>
          <w:p>
            <w:pPr>
              <w:spacing w:after="0"/>
              <w:rPr>
                <w:sz w:val="1"/>
                <w:szCs w:val="1"/>
                <w:color w:val="auto"/>
              </w:rPr>
            </w:pPr>
          </w:p>
        </w:tc>
      </w:tr>
      <w:tr>
        <w:trPr>
          <w:trHeight w:val="203"/>
        </w:trPr>
        <w:tc>
          <w:tcPr>
            <w:tcW w:w="1880" w:type="dxa"/>
            <w:vAlign w:val="bottom"/>
            <w:shd w:val="clear" w:color="auto" w:fill="212322"/>
          </w:tcPr>
          <w:p>
            <w:pPr>
              <w:spacing w:after="0"/>
              <w:rPr>
                <w:sz w:val="17"/>
                <w:szCs w:val="17"/>
                <w:color w:val="auto"/>
              </w:rPr>
            </w:pPr>
          </w:p>
        </w:tc>
        <w:tc>
          <w:tcPr>
            <w:tcW w:w="200" w:type="dxa"/>
            <w:vAlign w:val="bottom"/>
            <w:shd w:val="clear" w:color="auto" w:fill="212322"/>
          </w:tcPr>
          <w:p>
            <w:pPr>
              <w:spacing w:after="0"/>
              <w:rPr>
                <w:sz w:val="17"/>
                <w:szCs w:val="17"/>
                <w:color w:val="auto"/>
              </w:rPr>
            </w:pPr>
          </w:p>
        </w:tc>
        <w:tc>
          <w:tcPr>
            <w:tcW w:w="880" w:type="dxa"/>
            <w:vAlign w:val="bottom"/>
            <w:shd w:val="clear" w:color="auto" w:fill="212322"/>
          </w:tcPr>
          <w:p>
            <w:pPr>
              <w:spacing w:after="0"/>
              <w:rPr>
                <w:sz w:val="17"/>
                <w:szCs w:val="17"/>
                <w:color w:val="auto"/>
              </w:rPr>
            </w:pPr>
          </w:p>
        </w:tc>
        <w:tc>
          <w:tcPr>
            <w:tcW w:w="200" w:type="dxa"/>
            <w:vAlign w:val="bottom"/>
            <w:shd w:val="clear" w:color="auto" w:fill="212322"/>
          </w:tcPr>
          <w:p>
            <w:pPr>
              <w:spacing w:after="0"/>
              <w:rPr>
                <w:sz w:val="17"/>
                <w:szCs w:val="17"/>
                <w:color w:val="auto"/>
              </w:rPr>
            </w:pPr>
          </w:p>
        </w:tc>
        <w:tc>
          <w:tcPr>
            <w:tcW w:w="780" w:type="dxa"/>
            <w:vAlign w:val="bottom"/>
            <w:shd w:val="clear" w:color="auto" w:fill="212322"/>
          </w:tcPr>
          <w:p>
            <w:pPr>
              <w:spacing w:after="0"/>
              <w:rPr>
                <w:sz w:val="17"/>
                <w:szCs w:val="17"/>
                <w:color w:val="auto"/>
              </w:rPr>
            </w:pPr>
          </w:p>
        </w:tc>
        <w:tc>
          <w:tcPr>
            <w:tcW w:w="240" w:type="dxa"/>
            <w:vAlign w:val="bottom"/>
            <w:shd w:val="clear" w:color="auto" w:fill="212322"/>
          </w:tcPr>
          <w:p>
            <w:pPr>
              <w:spacing w:after="0"/>
              <w:rPr>
                <w:sz w:val="17"/>
                <w:szCs w:val="17"/>
                <w:color w:val="auto"/>
              </w:rPr>
            </w:pPr>
          </w:p>
        </w:tc>
        <w:tc>
          <w:tcPr>
            <w:tcW w:w="74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Plans (1)</w:t>
            </w:r>
          </w:p>
        </w:tc>
        <w:tc>
          <w:tcPr>
            <w:tcW w:w="220" w:type="dxa"/>
            <w:vAlign w:val="bottom"/>
            <w:shd w:val="clear" w:color="auto" w:fill="212322"/>
          </w:tcPr>
          <w:p>
            <w:pPr>
              <w:spacing w:after="0"/>
              <w:rPr>
                <w:sz w:val="17"/>
                <w:szCs w:val="17"/>
                <w:color w:val="auto"/>
              </w:rPr>
            </w:pPr>
          </w:p>
        </w:tc>
        <w:tc>
          <w:tcPr>
            <w:tcW w:w="740" w:type="dxa"/>
            <w:vAlign w:val="bottom"/>
            <w:shd w:val="clear" w:color="auto" w:fill="212322"/>
          </w:tcPr>
          <w:p>
            <w:pPr>
              <w:spacing w:after="0"/>
              <w:rPr>
                <w:sz w:val="17"/>
                <w:szCs w:val="17"/>
                <w:color w:val="auto"/>
              </w:rPr>
            </w:pPr>
          </w:p>
        </w:tc>
        <w:tc>
          <w:tcPr>
            <w:tcW w:w="200" w:type="dxa"/>
            <w:vAlign w:val="bottom"/>
            <w:shd w:val="clear" w:color="auto" w:fill="212322"/>
          </w:tcPr>
          <w:p>
            <w:pPr>
              <w:spacing w:after="0"/>
              <w:rPr>
                <w:sz w:val="17"/>
                <w:szCs w:val="17"/>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Stock or</w:t>
            </w:r>
          </w:p>
        </w:tc>
        <w:tc>
          <w:tcPr>
            <w:tcW w:w="980" w:type="dxa"/>
            <w:vAlign w:val="bottom"/>
            <w:gridSpan w:val="2"/>
            <w:shd w:val="clear" w:color="auto" w:fill="212322"/>
          </w:tcPr>
          <w:p>
            <w:pPr>
              <w:jc w:val="center"/>
              <w:ind w:left="68"/>
              <w:spacing w:after="0"/>
              <w:rPr>
                <w:sz w:val="20"/>
                <w:szCs w:val="20"/>
                <w:color w:val="auto"/>
              </w:rPr>
            </w:pPr>
            <w:r>
              <w:rPr>
                <w:rFonts w:ascii="Arial" w:cs="Arial" w:eastAsia="Arial" w:hAnsi="Arial"/>
                <w:sz w:val="14"/>
                <w:szCs w:val="14"/>
                <w:b w:val="1"/>
                <w:bCs w:val="1"/>
                <w:color w:val="FFFFFF"/>
              </w:rPr>
              <w:t>Underlying</w:t>
            </w:r>
          </w:p>
        </w:tc>
        <w:tc>
          <w:tcPr>
            <w:tcW w:w="200" w:type="dxa"/>
            <w:vAlign w:val="bottom"/>
            <w:shd w:val="clear" w:color="auto" w:fill="212322"/>
          </w:tcPr>
          <w:p>
            <w:pPr>
              <w:spacing w:after="0"/>
              <w:rPr>
                <w:sz w:val="17"/>
                <w:szCs w:val="17"/>
                <w:color w:val="auto"/>
              </w:rPr>
            </w:pPr>
          </w:p>
        </w:tc>
        <w:tc>
          <w:tcPr>
            <w:tcW w:w="720" w:type="dxa"/>
            <w:vAlign w:val="bottom"/>
            <w:shd w:val="clear" w:color="auto" w:fill="212322"/>
          </w:tcPr>
          <w:p>
            <w:pPr>
              <w:ind w:left="100"/>
              <w:spacing w:after="0"/>
              <w:rPr>
                <w:sz w:val="20"/>
                <w:szCs w:val="20"/>
                <w:color w:val="auto"/>
              </w:rPr>
            </w:pPr>
            <w:r>
              <w:rPr>
                <w:rFonts w:ascii="Arial" w:cs="Arial" w:eastAsia="Arial" w:hAnsi="Arial"/>
                <w:sz w:val="14"/>
                <w:szCs w:val="14"/>
                <w:b w:val="1"/>
                <w:bCs w:val="1"/>
                <w:color w:val="FFFFFF"/>
              </w:rPr>
              <w:t>Option</w:t>
            </w:r>
          </w:p>
        </w:tc>
        <w:tc>
          <w:tcPr>
            <w:tcW w:w="180" w:type="dxa"/>
            <w:vAlign w:val="bottom"/>
            <w:shd w:val="clear" w:color="auto" w:fill="212322"/>
          </w:tcPr>
          <w:p>
            <w:pPr>
              <w:spacing w:after="0"/>
              <w:rPr>
                <w:sz w:val="17"/>
                <w:szCs w:val="17"/>
                <w:color w:val="auto"/>
              </w:rPr>
            </w:pPr>
          </w:p>
        </w:tc>
        <w:tc>
          <w:tcPr>
            <w:tcW w:w="40" w:type="dxa"/>
            <w:vAlign w:val="bottom"/>
            <w:shd w:val="clear" w:color="auto" w:fill="212322"/>
          </w:tcPr>
          <w:p>
            <w:pPr>
              <w:spacing w:after="0"/>
              <w:rPr>
                <w:sz w:val="17"/>
                <w:szCs w:val="17"/>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202"/>
        </w:trPr>
        <w:tc>
          <w:tcPr>
            <w:tcW w:w="1880" w:type="dxa"/>
            <w:vAlign w:val="bottom"/>
            <w:shd w:val="clear" w:color="auto" w:fill="212322"/>
          </w:tcPr>
          <w:p>
            <w:pPr>
              <w:spacing w:after="0"/>
              <w:rPr>
                <w:sz w:val="17"/>
                <w:szCs w:val="17"/>
                <w:color w:val="auto"/>
              </w:rPr>
            </w:pPr>
          </w:p>
        </w:tc>
        <w:tc>
          <w:tcPr>
            <w:tcW w:w="200" w:type="dxa"/>
            <w:vAlign w:val="bottom"/>
            <w:shd w:val="clear" w:color="auto" w:fill="212322"/>
          </w:tcPr>
          <w:p>
            <w:pPr>
              <w:spacing w:after="0"/>
              <w:rPr>
                <w:sz w:val="17"/>
                <w:szCs w:val="17"/>
                <w:color w:val="auto"/>
              </w:rPr>
            </w:pPr>
          </w:p>
        </w:tc>
        <w:tc>
          <w:tcPr>
            <w:tcW w:w="8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Equity Plans</w:t>
            </w:r>
          </w:p>
        </w:tc>
        <w:tc>
          <w:tcPr>
            <w:tcW w:w="200" w:type="dxa"/>
            <w:vAlign w:val="bottom"/>
            <w:shd w:val="clear" w:color="auto" w:fill="212322"/>
          </w:tcPr>
          <w:p>
            <w:pPr>
              <w:spacing w:after="0"/>
              <w:rPr>
                <w:sz w:val="17"/>
                <w:szCs w:val="17"/>
                <w:color w:val="auto"/>
              </w:rPr>
            </w:pPr>
          </w:p>
        </w:tc>
        <w:tc>
          <w:tcPr>
            <w:tcW w:w="7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Threshold</w:t>
            </w:r>
          </w:p>
        </w:tc>
        <w:tc>
          <w:tcPr>
            <w:tcW w:w="240" w:type="dxa"/>
            <w:vAlign w:val="bottom"/>
            <w:shd w:val="clear" w:color="auto" w:fill="212322"/>
          </w:tcPr>
          <w:p>
            <w:pPr>
              <w:spacing w:after="0"/>
              <w:rPr>
                <w:sz w:val="17"/>
                <w:szCs w:val="17"/>
                <w:color w:val="auto"/>
              </w:rPr>
            </w:pPr>
          </w:p>
        </w:tc>
        <w:tc>
          <w:tcPr>
            <w:tcW w:w="74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Target</w:t>
            </w:r>
          </w:p>
        </w:tc>
        <w:tc>
          <w:tcPr>
            <w:tcW w:w="220" w:type="dxa"/>
            <w:vAlign w:val="bottom"/>
            <w:shd w:val="clear" w:color="auto" w:fill="212322"/>
          </w:tcPr>
          <w:p>
            <w:pPr>
              <w:spacing w:after="0"/>
              <w:rPr>
                <w:sz w:val="17"/>
                <w:szCs w:val="17"/>
                <w:color w:val="auto"/>
              </w:rPr>
            </w:pPr>
          </w:p>
        </w:tc>
        <w:tc>
          <w:tcPr>
            <w:tcW w:w="74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Maximum</w:t>
            </w:r>
          </w:p>
        </w:tc>
        <w:tc>
          <w:tcPr>
            <w:tcW w:w="200" w:type="dxa"/>
            <w:vAlign w:val="bottom"/>
            <w:shd w:val="clear" w:color="auto" w:fill="212322"/>
          </w:tcPr>
          <w:p>
            <w:pPr>
              <w:spacing w:after="0"/>
              <w:rPr>
                <w:sz w:val="17"/>
                <w:szCs w:val="17"/>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Units</w:t>
            </w:r>
          </w:p>
        </w:tc>
        <w:tc>
          <w:tcPr>
            <w:tcW w:w="200" w:type="dxa"/>
            <w:vAlign w:val="bottom"/>
            <w:shd w:val="clear" w:color="auto" w:fill="212322"/>
          </w:tcPr>
          <w:p>
            <w:pPr>
              <w:spacing w:after="0"/>
              <w:rPr>
                <w:sz w:val="17"/>
                <w:szCs w:val="17"/>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Options</w:t>
            </w:r>
          </w:p>
        </w:tc>
        <w:tc>
          <w:tcPr>
            <w:tcW w:w="200" w:type="dxa"/>
            <w:vAlign w:val="bottom"/>
            <w:shd w:val="clear" w:color="auto" w:fill="212322"/>
          </w:tcPr>
          <w:p>
            <w:pPr>
              <w:spacing w:after="0"/>
              <w:rPr>
                <w:sz w:val="17"/>
                <w:szCs w:val="17"/>
                <w:color w:val="auto"/>
              </w:rPr>
            </w:pPr>
          </w:p>
        </w:tc>
        <w:tc>
          <w:tcPr>
            <w:tcW w:w="720" w:type="dxa"/>
            <w:vAlign w:val="bottom"/>
            <w:shd w:val="clear" w:color="auto" w:fill="212322"/>
          </w:tcPr>
          <w:p>
            <w:pPr>
              <w:jc w:val="center"/>
              <w:ind w:right="8"/>
              <w:spacing w:after="0"/>
              <w:rPr>
                <w:sz w:val="20"/>
                <w:szCs w:val="20"/>
                <w:color w:val="auto"/>
              </w:rPr>
            </w:pPr>
            <w:r>
              <w:rPr>
                <w:rFonts w:ascii="Arial" w:cs="Arial" w:eastAsia="Arial" w:hAnsi="Arial"/>
                <w:sz w:val="14"/>
                <w:szCs w:val="14"/>
                <w:b w:val="1"/>
                <w:bCs w:val="1"/>
                <w:color w:val="FFFFFF"/>
              </w:rPr>
              <w:t>Awards</w:t>
            </w:r>
          </w:p>
        </w:tc>
        <w:tc>
          <w:tcPr>
            <w:tcW w:w="180" w:type="dxa"/>
            <w:vAlign w:val="bottom"/>
            <w:shd w:val="clear" w:color="auto" w:fill="212322"/>
          </w:tcPr>
          <w:p>
            <w:pPr>
              <w:spacing w:after="0"/>
              <w:rPr>
                <w:sz w:val="17"/>
                <w:szCs w:val="17"/>
                <w:color w:val="auto"/>
              </w:rPr>
            </w:pPr>
          </w:p>
        </w:tc>
        <w:tc>
          <w:tcPr>
            <w:tcW w:w="40" w:type="dxa"/>
            <w:vAlign w:val="bottom"/>
            <w:shd w:val="clear" w:color="auto" w:fill="212322"/>
          </w:tcPr>
          <w:p>
            <w:pPr>
              <w:spacing w:after="0"/>
              <w:rPr>
                <w:sz w:val="17"/>
                <w:szCs w:val="17"/>
                <w:color w:val="auto"/>
              </w:rPr>
            </w:pP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88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Name</w:t>
            </w:r>
          </w:p>
        </w:tc>
        <w:tc>
          <w:tcPr>
            <w:tcW w:w="20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212322"/>
          </w:tcPr>
          <w:p>
            <w:pPr>
              <w:jc w:val="right"/>
              <w:ind w:right="8"/>
              <w:spacing w:after="0"/>
              <w:rPr>
                <w:sz w:val="20"/>
                <w:szCs w:val="20"/>
                <w:color w:val="auto"/>
              </w:rPr>
            </w:pPr>
            <w:r>
              <w:rPr>
                <w:rFonts w:ascii="Arial" w:cs="Arial" w:eastAsia="Arial" w:hAnsi="Arial"/>
                <w:sz w:val="14"/>
                <w:szCs w:val="14"/>
                <w:b w:val="1"/>
                <w:bCs w:val="1"/>
                <w:color w:val="FFFFFF"/>
              </w:rPr>
              <w:t>Grant Date</w:t>
            </w:r>
          </w:p>
        </w:tc>
        <w:tc>
          <w:tcPr>
            <w:tcW w:w="20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212322"/>
          </w:tcPr>
          <w:p>
            <w:pPr>
              <w:jc w:val="right"/>
              <w:ind w:right="228"/>
              <w:spacing w:after="0"/>
              <w:rPr>
                <w:sz w:val="20"/>
                <w:szCs w:val="20"/>
                <w:color w:val="auto"/>
              </w:rPr>
            </w:pPr>
            <w:r>
              <w:rPr>
                <w:rFonts w:ascii="Arial" w:cs="Arial" w:eastAsia="Arial" w:hAnsi="Arial"/>
                <w:sz w:val="14"/>
                <w:szCs w:val="14"/>
                <w:b w:val="1"/>
                <w:bCs w:val="1"/>
                <w:color w:val="FFFFFF"/>
              </w:rPr>
              <w:t>($)</w:t>
            </w:r>
          </w:p>
        </w:tc>
        <w:tc>
          <w:tcPr>
            <w:tcW w:w="24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w w:val="93"/>
              </w:rPr>
              <w:t>($)</w:t>
            </w:r>
          </w:p>
        </w:tc>
        <w:tc>
          <w:tcPr>
            <w:tcW w:w="220" w:type="dxa"/>
            <w:vAlign w:val="bottom"/>
            <w:shd w:val="clear" w:color="auto" w:fill="212322"/>
          </w:tcPr>
          <w:p>
            <w:pPr>
              <w:ind w:left="60"/>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212322"/>
          </w:tcPr>
          <w:p>
            <w:pPr>
              <w:jc w:val="right"/>
              <w:ind w:right="228"/>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212322"/>
          </w:tcPr>
          <w:p>
            <w:pPr>
              <w:ind w:left="100"/>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 (2)</w:t>
            </w:r>
          </w:p>
        </w:tc>
        <w:tc>
          <w:tcPr>
            <w:tcW w:w="20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 (3)</w:t>
            </w:r>
          </w:p>
        </w:tc>
        <w:tc>
          <w:tcPr>
            <w:tcW w:w="200" w:type="dxa"/>
            <w:vAlign w:val="bottom"/>
            <w:shd w:val="clear" w:color="auto" w:fill="212322"/>
          </w:tcPr>
          <w:p>
            <w:pPr>
              <w:ind w:left="40"/>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rPr>
              <w:t>($)</w:t>
            </w:r>
          </w:p>
        </w:tc>
        <w:tc>
          <w:tcPr>
            <w:tcW w:w="220" w:type="dxa"/>
            <w:vAlign w:val="bottom"/>
            <w:gridSpan w:val="2"/>
            <w:shd w:val="clear" w:color="auto" w:fill="212322"/>
          </w:tcPr>
          <w:p>
            <w:pPr>
              <w:ind w:left="60"/>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212322"/>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14"/>
        </w:trPr>
        <w:tc>
          <w:tcPr>
            <w:tcW w:w="1880" w:type="dxa"/>
            <w:vAlign w:val="bottom"/>
          </w:tcPr>
          <w:p>
            <w:pPr>
              <w:spacing w:after="0"/>
              <w:rPr>
                <w:sz w:val="20"/>
                <w:szCs w:val="20"/>
                <w:color w:val="auto"/>
              </w:rPr>
            </w:pPr>
            <w:r>
              <w:rPr>
                <w:rFonts w:ascii="Arial" w:cs="Arial" w:eastAsia="Arial" w:hAnsi="Arial"/>
                <w:sz w:val="14"/>
                <w:szCs w:val="14"/>
                <w:b w:val="1"/>
                <w:bCs w:val="1"/>
                <w:color w:val="F37F00"/>
              </w:rPr>
              <w:t>Philip B. Daniele, III</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202124"/>
              </w:rPr>
              <w:t>10/10/2025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02124"/>
              </w:rPr>
              <w:t>760,000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202124"/>
              </w:rPr>
              <w:t>1,520,000</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202124"/>
              </w:rPr>
              <w:t>4,560,000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202124"/>
              </w:rPr>
              <w:t>4,253</w:t>
            </w:r>
          </w:p>
        </w:tc>
        <w:tc>
          <w:tcPr>
            <w:tcW w:w="200" w:type="dxa"/>
            <w:vAlign w:val="bottom"/>
          </w:tcPr>
          <w:p>
            <w:pPr>
              <w:spacing w:after="0"/>
              <w:rPr>
                <w:sz w:val="18"/>
                <w:szCs w:val="18"/>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color w:val="202124"/>
              </w:rPr>
              <w:t>4,075.31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202124"/>
              </w:rPr>
              <w:t>6,207,574</w:t>
            </w: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10/10/2025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202124"/>
              </w:rPr>
              <w:t>1,417</w:t>
            </w:r>
          </w:p>
        </w:tc>
        <w:tc>
          <w:tcPr>
            <w:tcW w:w="20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color w:val="202124"/>
              </w:rPr>
              <w:t>4,482.84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124"/>
              </w:rPr>
              <w:t>2,069,189</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9/30/2025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02124"/>
              </w:rPr>
              <w:t>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124"/>
              </w:rPr>
              <w:t>4,290</w:t>
            </w: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12/31/2025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02124"/>
              </w:rPr>
              <w:t>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124"/>
              </w:rPr>
              <w:t>6,783</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3/31/2026</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02124"/>
              </w:rPr>
              <w:t>2</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6,756</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8,294,592</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4"/>
                <w:szCs w:val="14"/>
                <w:b w:val="1"/>
                <w:bCs w:val="1"/>
                <w:color w:val="F37F00"/>
              </w:rPr>
              <w:t>Jamere Jackson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202124"/>
              </w:rPr>
              <w:t>​</w:t>
            </w:r>
          </w:p>
        </w:tc>
        <w:tc>
          <w:tcPr>
            <w:tcW w:w="780" w:type="dxa"/>
            <w:vAlign w:val="bottom"/>
          </w:tcPr>
          <w:p>
            <w:pPr>
              <w:jc w:val="right"/>
              <w:spacing w:after="0"/>
              <w:rPr>
                <w:sz w:val="20"/>
                <w:szCs w:val="20"/>
                <w:color w:val="auto"/>
              </w:rPr>
            </w:pPr>
            <w:r>
              <w:rPr>
                <w:rFonts w:ascii="Arial" w:cs="Arial" w:eastAsia="Arial" w:hAnsi="Arial"/>
                <w:sz w:val="14"/>
                <w:szCs w:val="14"/>
                <w:color w:val="202124"/>
              </w:rPr>
              <w:t>411,769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202124"/>
              </w:rPr>
              <w:t>823,538</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202124"/>
              </w:rPr>
              <w:t>2,470,615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202124"/>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10/10/2025</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202124"/>
              </w:rPr>
              <w:t>4,049</w:t>
            </w:r>
          </w:p>
        </w:tc>
        <w:tc>
          <w:tcPr>
            <w:tcW w:w="2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Arial" w:cs="Arial" w:eastAsia="Arial" w:hAnsi="Arial"/>
                <w:sz w:val="14"/>
                <w:szCs w:val="14"/>
                <w:color w:val="202124"/>
              </w:rPr>
              <w:t>4,075.31</w:t>
            </w:r>
          </w:p>
        </w:tc>
        <w:tc>
          <w:tcPr>
            <w:tcW w:w="1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5,909,820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5,909,820</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4"/>
                <w:szCs w:val="14"/>
                <w:b w:val="1"/>
                <w:bCs w:val="1"/>
                <w:color w:val="F37F00"/>
              </w:rPr>
              <w:t>Thomas B. Newbern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202124"/>
              </w:rPr>
              <w:t>​</w:t>
            </w:r>
          </w:p>
        </w:tc>
        <w:tc>
          <w:tcPr>
            <w:tcW w:w="780" w:type="dxa"/>
            <w:vAlign w:val="bottom"/>
          </w:tcPr>
          <w:p>
            <w:pPr>
              <w:jc w:val="right"/>
              <w:spacing w:after="0"/>
              <w:rPr>
                <w:sz w:val="20"/>
                <w:szCs w:val="20"/>
                <w:color w:val="auto"/>
              </w:rPr>
            </w:pPr>
            <w:r>
              <w:rPr>
                <w:rFonts w:ascii="Arial" w:cs="Arial" w:eastAsia="Arial" w:hAnsi="Arial"/>
                <w:sz w:val="14"/>
                <w:szCs w:val="14"/>
                <w:color w:val="202124"/>
              </w:rPr>
              <w:t>411,769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202124"/>
              </w:rPr>
              <w:t>823,538</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202124"/>
              </w:rPr>
              <w:t>2,470,615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202124"/>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10/10/2025</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202124"/>
              </w:rPr>
              <w:t>4,049</w:t>
            </w:r>
          </w:p>
        </w:tc>
        <w:tc>
          <w:tcPr>
            <w:tcW w:w="2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Arial" w:cs="Arial" w:eastAsia="Arial" w:hAnsi="Arial"/>
                <w:sz w:val="14"/>
                <w:szCs w:val="14"/>
                <w:color w:val="202124"/>
              </w:rPr>
              <w:t>4,075.31</w:t>
            </w:r>
          </w:p>
        </w:tc>
        <w:tc>
          <w:tcPr>
            <w:tcW w:w="1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5,909,820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5,909,820</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4"/>
                <w:szCs w:val="14"/>
                <w:b w:val="1"/>
                <w:bCs w:val="1"/>
                <w:color w:val="F37F00"/>
              </w:rPr>
              <w:t>Eric S. Gould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202124"/>
              </w:rPr>
              <w:t>​</w:t>
            </w:r>
          </w:p>
        </w:tc>
        <w:tc>
          <w:tcPr>
            <w:tcW w:w="780" w:type="dxa"/>
            <w:vAlign w:val="bottom"/>
          </w:tcPr>
          <w:p>
            <w:pPr>
              <w:jc w:val="right"/>
              <w:spacing w:after="0"/>
              <w:rPr>
                <w:sz w:val="20"/>
                <w:szCs w:val="20"/>
                <w:color w:val="auto"/>
              </w:rPr>
            </w:pPr>
            <w:r>
              <w:rPr>
                <w:rFonts w:ascii="Arial" w:cs="Arial" w:eastAsia="Arial" w:hAnsi="Arial"/>
                <w:sz w:val="14"/>
                <w:szCs w:val="14"/>
                <w:color w:val="202124"/>
              </w:rPr>
              <w:t>195,000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202124"/>
              </w:rPr>
              <w:t>390,000</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202124"/>
              </w:rPr>
              <w:t>1,170,000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202124"/>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10/10/2025</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202124"/>
              </w:rPr>
              <w:t>3,380</w:t>
            </w:r>
          </w:p>
        </w:tc>
        <w:tc>
          <w:tcPr>
            <w:tcW w:w="2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Arial" w:cs="Arial" w:eastAsia="Arial" w:hAnsi="Arial"/>
                <w:sz w:val="14"/>
                <w:szCs w:val="14"/>
                <w:color w:val="202124"/>
              </w:rPr>
              <w:t>4,075.31</w:t>
            </w:r>
          </w:p>
        </w:tc>
        <w:tc>
          <w:tcPr>
            <w:tcW w:w="1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4,933,364</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4,933,364</w:t>
            </w:r>
          </w:p>
        </w:tc>
        <w:tc>
          <w:tcPr>
            <w:tcW w:w="0" w:type="dxa"/>
            <w:vAlign w:val="bottom"/>
          </w:tcPr>
          <w:p>
            <w:pPr>
              <w:spacing w:after="0"/>
              <w:rPr>
                <w:sz w:val="1"/>
                <w:szCs w:val="1"/>
                <w:color w:val="auto"/>
              </w:rPr>
            </w:pPr>
          </w:p>
        </w:tc>
      </w:tr>
      <w:tr>
        <w:trPr>
          <w:trHeight w:val="208"/>
        </w:trPr>
        <w:tc>
          <w:tcPr>
            <w:tcW w:w="1880" w:type="dxa"/>
            <w:vAlign w:val="bottom"/>
          </w:tcPr>
          <w:p>
            <w:pPr>
              <w:spacing w:after="0"/>
              <w:rPr>
                <w:sz w:val="20"/>
                <w:szCs w:val="20"/>
                <w:color w:val="auto"/>
              </w:rPr>
            </w:pPr>
            <w:r>
              <w:rPr>
                <w:rFonts w:ascii="Arial" w:cs="Arial" w:eastAsia="Arial" w:hAnsi="Arial"/>
                <w:sz w:val="14"/>
                <w:szCs w:val="14"/>
                <w:b w:val="1"/>
                <w:bCs w:val="1"/>
                <w:color w:val="F37F00"/>
              </w:rPr>
              <w:t>Kenneth E. Jaycox, Jr.</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202124"/>
              </w:rPr>
              <w:t>10/10/2025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02124"/>
              </w:rPr>
              <w:t>152,538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202124"/>
              </w:rPr>
              <w:t>305,077</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202124"/>
              </w:rPr>
              <w:t>915,231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202124"/>
              </w:rPr>
              <w:t>2,660</w:t>
            </w:r>
          </w:p>
        </w:tc>
        <w:tc>
          <w:tcPr>
            <w:tcW w:w="200" w:type="dxa"/>
            <w:vAlign w:val="bottom"/>
          </w:tcPr>
          <w:p>
            <w:pPr>
              <w:spacing w:after="0"/>
              <w:rPr>
                <w:sz w:val="18"/>
                <w:szCs w:val="18"/>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color w:val="202124"/>
              </w:rPr>
              <w:t>4,075.31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202124"/>
              </w:rPr>
              <w:t>3,882,470</w:t>
            </w: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9/30/2025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02124"/>
              </w:rPr>
              <w:t>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124"/>
              </w:rPr>
              <w:t>4,290</w:t>
            </w: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12/31/2025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02124"/>
              </w:rPr>
              <w:t>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124"/>
              </w:rPr>
              <w:t>3,392</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202124"/>
              </w:rPr>
              <w:t>8/28/2026</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02124"/>
              </w:rPr>
              <w:t>1,688</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202124"/>
              </w:rPr>
              <w:t>4,999,788</w:t>
            </w:r>
          </w:p>
        </w:tc>
        <w:tc>
          <w:tcPr>
            <w:tcW w:w="0" w:type="dxa"/>
            <w:vAlign w:val="bottom"/>
          </w:tcPr>
          <w:p>
            <w:pPr>
              <w:spacing w:after="0"/>
              <w:rPr>
                <w:sz w:val="1"/>
                <w:szCs w:val="1"/>
                <w:color w:val="auto"/>
              </w:rPr>
            </w:pPr>
          </w:p>
        </w:tc>
      </w:tr>
      <w:tr>
        <w:trPr>
          <w:trHeight w:val="203"/>
        </w:trPr>
        <w:tc>
          <w:tcPr>
            <w:tcW w:w="1880" w:type="dxa"/>
            <w:vAlign w:val="bottom"/>
            <w:tcBorders>
              <w:bottom w:val="single" w:sz="8" w:color="202124"/>
            </w:tcBorders>
          </w:tcPr>
          <w:p>
            <w:pPr>
              <w:spacing w:after="0"/>
              <w:rPr>
                <w:sz w:val="17"/>
                <w:szCs w:val="17"/>
                <w:color w:val="auto"/>
              </w:rPr>
            </w:pPr>
          </w:p>
        </w:tc>
        <w:tc>
          <w:tcPr>
            <w:tcW w:w="200" w:type="dxa"/>
            <w:vAlign w:val="bottom"/>
            <w:tcBorders>
              <w:bottom w:val="single" w:sz="8" w:color="202124"/>
            </w:tcBorders>
          </w:tcPr>
          <w:p>
            <w:pPr>
              <w:spacing w:after="0"/>
              <w:rPr>
                <w:sz w:val="17"/>
                <w:szCs w:val="17"/>
                <w:color w:val="auto"/>
              </w:rPr>
            </w:pPr>
          </w:p>
        </w:tc>
        <w:tc>
          <w:tcPr>
            <w:tcW w:w="880" w:type="dxa"/>
            <w:vAlign w:val="bottom"/>
            <w:tcBorders>
              <w:bottom w:val="single" w:sz="8" w:color="202124"/>
            </w:tcBorders>
          </w:tcPr>
          <w:p>
            <w:pPr>
              <w:spacing w:after="0"/>
              <w:rPr>
                <w:sz w:val="17"/>
                <w:szCs w:val="17"/>
                <w:color w:val="auto"/>
              </w:rPr>
            </w:pPr>
          </w:p>
        </w:tc>
        <w:tc>
          <w:tcPr>
            <w:tcW w:w="200" w:type="dxa"/>
            <w:vAlign w:val="bottom"/>
            <w:tcBorders>
              <w:bottom w:val="single" w:sz="8" w:color="202124"/>
            </w:tcBorders>
          </w:tcPr>
          <w:p>
            <w:pPr>
              <w:spacing w:after="0"/>
              <w:rPr>
                <w:sz w:val="17"/>
                <w:szCs w:val="17"/>
                <w:color w:val="auto"/>
              </w:rPr>
            </w:pPr>
          </w:p>
        </w:tc>
        <w:tc>
          <w:tcPr>
            <w:tcW w:w="780" w:type="dxa"/>
            <w:vAlign w:val="bottom"/>
            <w:tcBorders>
              <w:bottom w:val="single" w:sz="8" w:color="202124"/>
            </w:tcBorders>
          </w:tcPr>
          <w:p>
            <w:pPr>
              <w:spacing w:after="0"/>
              <w:rPr>
                <w:sz w:val="17"/>
                <w:szCs w:val="17"/>
                <w:color w:val="auto"/>
              </w:rPr>
            </w:pPr>
          </w:p>
        </w:tc>
        <w:tc>
          <w:tcPr>
            <w:tcW w:w="240" w:type="dxa"/>
            <w:vAlign w:val="bottom"/>
            <w:tcBorders>
              <w:bottom w:val="single" w:sz="8" w:color="202124"/>
            </w:tcBorders>
          </w:tcPr>
          <w:p>
            <w:pPr>
              <w:spacing w:after="0"/>
              <w:rPr>
                <w:sz w:val="17"/>
                <w:szCs w:val="17"/>
                <w:color w:val="auto"/>
              </w:rPr>
            </w:pPr>
          </w:p>
        </w:tc>
        <w:tc>
          <w:tcPr>
            <w:tcW w:w="740" w:type="dxa"/>
            <w:vAlign w:val="bottom"/>
            <w:tcBorders>
              <w:bottom w:val="single" w:sz="8" w:color="202124"/>
            </w:tcBorders>
          </w:tcPr>
          <w:p>
            <w:pPr>
              <w:spacing w:after="0"/>
              <w:rPr>
                <w:sz w:val="17"/>
                <w:szCs w:val="17"/>
                <w:color w:val="auto"/>
              </w:rPr>
            </w:pPr>
          </w:p>
        </w:tc>
        <w:tc>
          <w:tcPr>
            <w:tcW w:w="220" w:type="dxa"/>
            <w:vAlign w:val="bottom"/>
            <w:tcBorders>
              <w:bottom w:val="single" w:sz="8" w:color="202124"/>
            </w:tcBorders>
          </w:tcPr>
          <w:p>
            <w:pPr>
              <w:spacing w:after="0"/>
              <w:rPr>
                <w:sz w:val="17"/>
                <w:szCs w:val="17"/>
                <w:color w:val="auto"/>
              </w:rPr>
            </w:pPr>
          </w:p>
        </w:tc>
        <w:tc>
          <w:tcPr>
            <w:tcW w:w="740" w:type="dxa"/>
            <w:vAlign w:val="bottom"/>
            <w:tcBorders>
              <w:bottom w:val="single" w:sz="8" w:color="202124"/>
            </w:tcBorders>
          </w:tcPr>
          <w:p>
            <w:pPr>
              <w:spacing w:after="0"/>
              <w:rPr>
                <w:sz w:val="17"/>
                <w:szCs w:val="17"/>
                <w:color w:val="auto"/>
              </w:rPr>
            </w:pPr>
          </w:p>
        </w:tc>
        <w:tc>
          <w:tcPr>
            <w:tcW w:w="200" w:type="dxa"/>
            <w:vAlign w:val="bottom"/>
            <w:tcBorders>
              <w:bottom w:val="single" w:sz="8" w:color="202124"/>
            </w:tcBorders>
          </w:tcPr>
          <w:p>
            <w:pPr>
              <w:spacing w:after="0"/>
              <w:rPr>
                <w:sz w:val="17"/>
                <w:szCs w:val="17"/>
                <w:color w:val="auto"/>
              </w:rPr>
            </w:pPr>
          </w:p>
        </w:tc>
        <w:tc>
          <w:tcPr>
            <w:tcW w:w="760" w:type="dxa"/>
            <w:vAlign w:val="bottom"/>
            <w:tcBorders>
              <w:bottom w:val="single" w:sz="8" w:color="202124"/>
            </w:tcBorders>
          </w:tcPr>
          <w:p>
            <w:pPr>
              <w:spacing w:after="0"/>
              <w:rPr>
                <w:sz w:val="17"/>
                <w:szCs w:val="17"/>
                <w:color w:val="auto"/>
              </w:rPr>
            </w:pPr>
          </w:p>
        </w:tc>
        <w:tc>
          <w:tcPr>
            <w:tcW w:w="200" w:type="dxa"/>
            <w:vAlign w:val="bottom"/>
            <w:tcBorders>
              <w:bottom w:val="single" w:sz="8" w:color="202124"/>
            </w:tcBorders>
          </w:tcPr>
          <w:p>
            <w:pPr>
              <w:spacing w:after="0"/>
              <w:rPr>
                <w:sz w:val="17"/>
                <w:szCs w:val="17"/>
                <w:color w:val="auto"/>
              </w:rPr>
            </w:pPr>
          </w:p>
        </w:tc>
        <w:tc>
          <w:tcPr>
            <w:tcW w:w="780" w:type="dxa"/>
            <w:vAlign w:val="bottom"/>
            <w:tcBorders>
              <w:bottom w:val="single" w:sz="8" w:color="202124"/>
            </w:tcBorders>
          </w:tcPr>
          <w:p>
            <w:pPr>
              <w:spacing w:after="0"/>
              <w:rPr>
                <w:sz w:val="17"/>
                <w:szCs w:val="17"/>
                <w:color w:val="auto"/>
              </w:rPr>
            </w:pPr>
          </w:p>
        </w:tc>
        <w:tc>
          <w:tcPr>
            <w:tcW w:w="200" w:type="dxa"/>
            <w:vAlign w:val="bottom"/>
            <w:tcBorders>
              <w:bottom w:val="single" w:sz="8" w:color="202124"/>
            </w:tcBorders>
          </w:tcPr>
          <w:p>
            <w:pPr>
              <w:spacing w:after="0"/>
              <w:rPr>
                <w:sz w:val="17"/>
                <w:szCs w:val="17"/>
                <w:color w:val="auto"/>
              </w:rPr>
            </w:pPr>
          </w:p>
        </w:tc>
        <w:tc>
          <w:tcPr>
            <w:tcW w:w="720" w:type="dxa"/>
            <w:vAlign w:val="bottom"/>
            <w:tcBorders>
              <w:bottom w:val="single" w:sz="8" w:color="202124"/>
            </w:tcBorders>
          </w:tcPr>
          <w:p>
            <w:pPr>
              <w:spacing w:after="0"/>
              <w:rPr>
                <w:sz w:val="17"/>
                <w:szCs w:val="17"/>
                <w:color w:val="auto"/>
              </w:rPr>
            </w:pPr>
          </w:p>
        </w:tc>
        <w:tc>
          <w:tcPr>
            <w:tcW w:w="180" w:type="dxa"/>
            <w:vAlign w:val="bottom"/>
            <w:tcBorders>
              <w:bottom w:val="single" w:sz="8" w:color="202124"/>
            </w:tcBorders>
          </w:tcPr>
          <w:p>
            <w:pPr>
              <w:spacing w:after="0"/>
              <w:rPr>
                <w:sz w:val="17"/>
                <w:szCs w:val="17"/>
                <w:color w:val="auto"/>
              </w:rPr>
            </w:pPr>
          </w:p>
        </w:tc>
        <w:tc>
          <w:tcPr>
            <w:tcW w:w="40" w:type="dxa"/>
            <w:vAlign w:val="bottom"/>
            <w:tcBorders>
              <w:bottom w:val="single" w:sz="8" w:color="202124"/>
            </w:tcBorders>
          </w:tcPr>
          <w:p>
            <w:pPr>
              <w:spacing w:after="0"/>
              <w:rPr>
                <w:sz w:val="17"/>
                <w:szCs w:val="17"/>
                <w:color w:val="auto"/>
              </w:rPr>
            </w:pPr>
          </w:p>
        </w:tc>
        <w:tc>
          <w:tcPr>
            <w:tcW w:w="760" w:type="dxa"/>
            <w:vAlign w:val="bottom"/>
            <w:tcBorders>
              <w:bottom w:val="single" w:sz="8" w:color="202124"/>
            </w:tcBorders>
          </w:tcPr>
          <w:p>
            <w:pPr>
              <w:jc w:val="right"/>
              <w:spacing w:after="0"/>
              <w:rPr>
                <w:sz w:val="20"/>
                <w:szCs w:val="20"/>
                <w:color w:val="auto"/>
              </w:rPr>
            </w:pPr>
            <w:r>
              <w:rPr>
                <w:rFonts w:ascii="Arial" w:cs="Arial" w:eastAsia="Arial" w:hAnsi="Arial"/>
                <w:sz w:val="14"/>
                <w:szCs w:val="14"/>
                <w:b w:val="1"/>
                <w:bCs w:val="1"/>
                <w:color w:val="202124"/>
              </w:rPr>
              <w:t>8,889,940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60" w:hanging="316"/>
        <w:spacing w:after="0" w:line="230" w:lineRule="auto"/>
        <w:tabs>
          <w:tab w:leader="none" w:pos="960" w:val="left"/>
        </w:tabs>
        <w:numPr>
          <w:ilvl w:val="0"/>
          <w:numId w:val="93"/>
        </w:numPr>
        <w:rPr>
          <w:rFonts w:ascii="Arial" w:cs="Arial" w:eastAsia="Arial" w:hAnsi="Arial"/>
          <w:sz w:val="24"/>
          <w:szCs w:val="24"/>
          <w:color w:val="202124"/>
          <w:vertAlign w:val="superscript"/>
        </w:rPr>
      </w:pPr>
      <w:r>
        <w:rPr>
          <w:rFonts w:ascii="Arial" w:cs="Arial" w:eastAsia="Arial" w:hAnsi="Arial"/>
          <w:sz w:val="16"/>
          <w:szCs w:val="16"/>
          <w:color w:val="202124"/>
        </w:rPr>
        <w:t>Represents potential threshold, target and maximum incentive compensation for the 2026 fiscal year under the approved management incentive plan based on the dollar value of the estimated target amount payable if the specified performance target is reached. The amounts actually paid for the 2026 fiscal year are described in the “Non-Equity Incentive Plan Compensation” column in the Summary Compensation Table. The “threshold” is the minimum payment level under the approved management incentive plan which is 50% of the target amount. The maximum is 300% of the target.</w:t>
      </w:r>
    </w:p>
    <w:p>
      <w:pPr>
        <w:spacing w:after="0" w:line="96" w:lineRule="exact"/>
        <w:rPr>
          <w:rFonts w:ascii="Arial" w:cs="Arial" w:eastAsia="Arial" w:hAnsi="Arial"/>
          <w:sz w:val="24"/>
          <w:szCs w:val="24"/>
          <w:color w:val="202124"/>
          <w:vertAlign w:val="superscript"/>
        </w:rPr>
      </w:pPr>
    </w:p>
    <w:p>
      <w:pPr>
        <w:ind w:left="960" w:right="280" w:hanging="316"/>
        <w:spacing w:after="0" w:line="210" w:lineRule="auto"/>
        <w:tabs>
          <w:tab w:leader="none" w:pos="960" w:val="left"/>
        </w:tabs>
        <w:numPr>
          <w:ilvl w:val="0"/>
          <w:numId w:val="93"/>
        </w:numPr>
        <w:rPr>
          <w:rFonts w:ascii="Arial" w:cs="Arial" w:eastAsia="Arial" w:hAnsi="Arial"/>
          <w:sz w:val="24"/>
          <w:szCs w:val="24"/>
          <w:color w:val="202124"/>
          <w:vertAlign w:val="superscript"/>
        </w:rPr>
      </w:pPr>
      <w:r>
        <w:rPr>
          <w:rFonts w:ascii="Arial" w:cs="Arial" w:eastAsia="Arial" w:hAnsi="Arial"/>
          <w:sz w:val="16"/>
          <w:szCs w:val="16"/>
          <w:color w:val="202124"/>
        </w:rPr>
        <w:t>Represents shares awarded pursuant to the Executive Stock Purchase Plan, with the exception of Mr. Jaycox whose number of shares includes 1,688 pursuant to a one-time RSU grant.</w:t>
      </w:r>
    </w:p>
    <w:p>
      <w:pPr>
        <w:spacing w:after="0" w:line="22" w:lineRule="exact"/>
        <w:rPr>
          <w:rFonts w:ascii="Arial" w:cs="Arial" w:eastAsia="Arial" w:hAnsi="Arial"/>
          <w:sz w:val="24"/>
          <w:szCs w:val="24"/>
          <w:color w:val="202124"/>
          <w:vertAlign w:val="superscript"/>
        </w:rPr>
      </w:pPr>
    </w:p>
    <w:p>
      <w:pPr>
        <w:ind w:left="960" w:hanging="316"/>
        <w:spacing w:after="0"/>
        <w:tabs>
          <w:tab w:leader="none" w:pos="960" w:val="left"/>
        </w:tabs>
        <w:numPr>
          <w:ilvl w:val="0"/>
          <w:numId w:val="93"/>
        </w:numPr>
        <w:rPr>
          <w:rFonts w:ascii="Arial" w:cs="Arial" w:eastAsia="Arial" w:hAnsi="Arial"/>
          <w:sz w:val="24"/>
          <w:szCs w:val="24"/>
          <w:color w:val="202124"/>
          <w:vertAlign w:val="superscript"/>
        </w:rPr>
      </w:pPr>
      <w:r>
        <w:rPr>
          <w:rFonts w:ascii="Arial" w:cs="Arial" w:eastAsia="Arial" w:hAnsi="Arial"/>
          <w:sz w:val="16"/>
          <w:szCs w:val="16"/>
          <w:color w:val="202124"/>
        </w:rPr>
        <w:t>Represents options awarded pursuant to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63</w:t>
            </w:r>
          </w:p>
        </w:tc>
      </w:tr>
    </w:tbl>
    <w:p>
      <w:pPr>
        <w:sectPr>
          <w:pgSz w:w="11900" w:h="16838" w:orient="portrait"/>
          <w:cols w:equalWidth="0" w:num="1">
            <w:col w:w="10360"/>
          </w:cols>
          <w:pgMar w:left="440" w:top="106" w:right="1099" w:bottom="1440" w:gutter="0" w:footer="0" w:header="0"/>
        </w:sectPr>
      </w:pPr>
    </w:p>
    <w:bookmarkStart w:id="66" w:name="page67"/>
    <w:bookmarkEnd w:id="6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Outstanding Equity Awards at Fiscal Year-End</w:t>
      </w:r>
    </w:p>
    <w:p>
      <w:pPr>
        <w:spacing w:after="0" w:line="100" w:lineRule="exact"/>
        <w:rPr>
          <w:sz w:val="20"/>
          <w:szCs w:val="20"/>
          <w:color w:val="auto"/>
        </w:rPr>
      </w:pPr>
    </w:p>
    <w:p>
      <w:pPr>
        <w:ind w:left="640" w:right="20"/>
        <w:spacing w:after="0" w:line="267" w:lineRule="auto"/>
        <w:rPr>
          <w:sz w:val="20"/>
          <w:szCs w:val="20"/>
          <w:color w:val="auto"/>
        </w:rPr>
      </w:pPr>
      <w:r>
        <w:rPr>
          <w:rFonts w:ascii="Arial" w:cs="Arial" w:eastAsia="Arial" w:hAnsi="Arial"/>
          <w:sz w:val="16"/>
          <w:szCs w:val="16"/>
          <w:color w:val="202124"/>
        </w:rPr>
        <w:t>The following table sets forth information regarding outstanding stock option awards under the Amended 2011 Equity Plan, the 2011 Equity Plan, 2020 Omnibus Incentive Plan, and unvested shares under the Executive Stock Purchase Plan for the Company’s NEOs as of August 29, 2026:</w:t>
      </w: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12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78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920" w:type="dxa"/>
            <w:vAlign w:val="bottom"/>
            <w:shd w:val="clear" w:color="auto" w:fill="212322"/>
          </w:tcPr>
          <w:p>
            <w:pPr>
              <w:spacing w:after="0"/>
              <w:rPr>
                <w:sz w:val="15"/>
                <w:szCs w:val="15"/>
                <w:color w:val="auto"/>
              </w:rPr>
            </w:pPr>
          </w:p>
        </w:tc>
        <w:tc>
          <w:tcPr>
            <w:tcW w:w="2240" w:type="dxa"/>
            <w:vAlign w:val="bottom"/>
            <w:gridSpan w:val="3"/>
            <w:shd w:val="clear" w:color="auto" w:fill="212322"/>
          </w:tcPr>
          <w:p>
            <w:pPr>
              <w:jc w:val="right"/>
              <w:ind w:right="517"/>
              <w:spacing w:after="0"/>
              <w:rPr>
                <w:sz w:val="20"/>
                <w:szCs w:val="20"/>
                <w:color w:val="auto"/>
              </w:rPr>
            </w:pPr>
            <w:r>
              <w:rPr>
                <w:rFonts w:ascii="Arial" w:cs="Arial" w:eastAsia="Arial" w:hAnsi="Arial"/>
                <w:sz w:val="13"/>
                <w:szCs w:val="13"/>
                <w:b w:val="1"/>
                <w:bCs w:val="1"/>
                <w:color w:val="FFFFFF"/>
              </w:rPr>
              <w:t>Option Awards</w:t>
            </w:r>
          </w:p>
        </w:tc>
        <w:tc>
          <w:tcPr>
            <w:tcW w:w="180" w:type="dxa"/>
            <w:vAlign w:val="bottom"/>
            <w:shd w:val="clear" w:color="auto" w:fill="212322"/>
          </w:tcPr>
          <w:p>
            <w:pPr>
              <w:spacing w:after="0"/>
              <w:rPr>
                <w:sz w:val="15"/>
                <w:szCs w:val="15"/>
                <w:color w:val="auto"/>
              </w:rPr>
            </w:pPr>
          </w:p>
        </w:tc>
        <w:tc>
          <w:tcPr>
            <w:tcW w:w="1120" w:type="dxa"/>
            <w:vAlign w:val="bottom"/>
            <w:shd w:val="clear" w:color="auto" w:fill="212322"/>
          </w:tcPr>
          <w:p>
            <w:pPr>
              <w:spacing w:after="0"/>
              <w:rPr>
                <w:sz w:val="15"/>
                <w:szCs w:val="15"/>
                <w:color w:val="auto"/>
              </w:rPr>
            </w:pPr>
          </w:p>
        </w:tc>
        <w:tc>
          <w:tcPr>
            <w:tcW w:w="1960" w:type="dxa"/>
            <w:vAlign w:val="bottom"/>
            <w:gridSpan w:val="4"/>
            <w:shd w:val="clear" w:color="auto" w:fill="212322"/>
          </w:tcPr>
          <w:p>
            <w:pPr>
              <w:jc w:val="right"/>
              <w:ind w:right="797"/>
              <w:spacing w:after="0"/>
              <w:rPr>
                <w:sz w:val="20"/>
                <w:szCs w:val="20"/>
                <w:color w:val="auto"/>
              </w:rPr>
            </w:pPr>
            <w:r>
              <w:rPr>
                <w:rFonts w:ascii="Arial" w:cs="Arial" w:eastAsia="Arial" w:hAnsi="Arial"/>
                <w:sz w:val="13"/>
                <w:szCs w:val="13"/>
                <w:b w:val="1"/>
                <w:bCs w:val="1"/>
                <w:color w:val="FFFFFF"/>
              </w:rPr>
              <w:t>Shares</w:t>
            </w:r>
          </w:p>
        </w:tc>
      </w:tr>
      <w:tr>
        <w:trPr>
          <w:trHeight w:val="175"/>
        </w:trPr>
        <w:tc>
          <w:tcPr>
            <w:tcW w:w="212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78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920" w:type="dxa"/>
            <w:vAlign w:val="bottom"/>
            <w:shd w:val="clear" w:color="auto" w:fill="212322"/>
          </w:tcPr>
          <w:p>
            <w:pPr>
              <w:spacing w:after="0"/>
              <w:rPr>
                <w:sz w:val="15"/>
                <w:szCs w:val="15"/>
                <w:color w:val="auto"/>
              </w:rPr>
            </w:pPr>
          </w:p>
        </w:tc>
        <w:tc>
          <w:tcPr>
            <w:tcW w:w="1060" w:type="dxa"/>
            <w:vAlign w:val="bottom"/>
            <w:shd w:val="clear" w:color="auto" w:fill="212322"/>
          </w:tcPr>
          <w:p>
            <w:pPr>
              <w:spacing w:after="0"/>
              <w:rPr>
                <w:sz w:val="15"/>
                <w:szCs w:val="15"/>
                <w:color w:val="auto"/>
              </w:rPr>
            </w:pPr>
          </w:p>
        </w:tc>
        <w:tc>
          <w:tcPr>
            <w:tcW w:w="300" w:type="dxa"/>
            <w:vAlign w:val="bottom"/>
            <w:shd w:val="clear" w:color="auto" w:fill="212322"/>
          </w:tcPr>
          <w:p>
            <w:pPr>
              <w:spacing w:after="0"/>
              <w:rPr>
                <w:sz w:val="15"/>
                <w:szCs w:val="15"/>
                <w:color w:val="auto"/>
              </w:rPr>
            </w:pPr>
          </w:p>
        </w:tc>
        <w:tc>
          <w:tcPr>
            <w:tcW w:w="880" w:type="dxa"/>
            <w:vAlign w:val="bottom"/>
            <w:shd w:val="clear" w:color="auto" w:fill="212322"/>
          </w:tcPr>
          <w:p>
            <w:pPr>
              <w:spacing w:after="0"/>
              <w:rPr>
                <w:sz w:val="15"/>
                <w:szCs w:val="15"/>
                <w:color w:val="auto"/>
              </w:rPr>
            </w:pPr>
          </w:p>
        </w:tc>
        <w:tc>
          <w:tcPr>
            <w:tcW w:w="180" w:type="dxa"/>
            <w:vAlign w:val="bottom"/>
            <w:shd w:val="clear" w:color="auto" w:fill="212322"/>
          </w:tcPr>
          <w:p>
            <w:pPr>
              <w:spacing w:after="0"/>
              <w:rPr>
                <w:sz w:val="15"/>
                <w:szCs w:val="15"/>
                <w:color w:val="auto"/>
              </w:rPr>
            </w:pPr>
          </w:p>
        </w:tc>
        <w:tc>
          <w:tcPr>
            <w:tcW w:w="1120" w:type="dxa"/>
            <w:vAlign w:val="bottom"/>
            <w:shd w:val="clear" w:color="auto" w:fill="212322"/>
          </w:tcPr>
          <w:p>
            <w:pPr>
              <w:spacing w:after="0"/>
              <w:rPr>
                <w:sz w:val="15"/>
                <w:szCs w:val="15"/>
                <w:color w:val="auto"/>
              </w:rPr>
            </w:pPr>
          </w:p>
        </w:tc>
        <w:tc>
          <w:tcPr>
            <w:tcW w:w="820" w:type="dxa"/>
            <w:vAlign w:val="bottom"/>
            <w:gridSpan w:val="2"/>
            <w:shd w:val="clear" w:color="auto" w:fill="212322"/>
          </w:tcPr>
          <w:p>
            <w:pPr>
              <w:jc w:val="center"/>
              <w:ind w:right="60"/>
              <w:spacing w:after="0"/>
              <w:rPr>
                <w:sz w:val="20"/>
                <w:szCs w:val="20"/>
                <w:color w:val="auto"/>
              </w:rPr>
            </w:pPr>
            <w:r>
              <w:rPr>
                <w:rFonts w:ascii="Arial" w:cs="Arial" w:eastAsia="Arial" w:hAnsi="Arial"/>
                <w:sz w:val="13"/>
                <w:szCs w:val="13"/>
                <w:b w:val="1"/>
                <w:bCs w:val="1"/>
                <w:color w:val="FFFFFF"/>
                <w:w w:val="98"/>
              </w:rPr>
              <w:t>Number of</w:t>
            </w:r>
          </w:p>
        </w:tc>
        <w:tc>
          <w:tcPr>
            <w:tcW w:w="260" w:type="dxa"/>
            <w:vAlign w:val="bottom"/>
            <w:shd w:val="clear" w:color="auto" w:fill="212322"/>
          </w:tcPr>
          <w:p>
            <w:pPr>
              <w:spacing w:after="0"/>
              <w:rPr>
                <w:sz w:val="15"/>
                <w:szCs w:val="15"/>
                <w:color w:val="auto"/>
              </w:rPr>
            </w:pPr>
          </w:p>
        </w:tc>
        <w:tc>
          <w:tcPr>
            <w:tcW w:w="880" w:type="dxa"/>
            <w:vAlign w:val="bottom"/>
            <w:shd w:val="clear" w:color="auto" w:fill="212322"/>
          </w:tcPr>
          <w:p>
            <w:pPr>
              <w:jc w:val="center"/>
              <w:ind w:right="57"/>
              <w:spacing w:after="0"/>
              <w:rPr>
                <w:sz w:val="20"/>
                <w:szCs w:val="20"/>
                <w:color w:val="auto"/>
              </w:rPr>
            </w:pPr>
            <w:r>
              <w:rPr>
                <w:rFonts w:ascii="Arial" w:cs="Arial" w:eastAsia="Arial" w:hAnsi="Arial"/>
                <w:sz w:val="13"/>
                <w:szCs w:val="13"/>
                <w:b w:val="1"/>
                <w:bCs w:val="1"/>
                <w:color w:val="FFFFFF"/>
                <w:w w:val="95"/>
              </w:rPr>
              <w:t>Market</w:t>
            </w:r>
          </w:p>
        </w:tc>
      </w:tr>
      <w:tr>
        <w:trPr>
          <w:trHeight w:val="176"/>
        </w:trPr>
        <w:tc>
          <w:tcPr>
            <w:tcW w:w="212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78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1980" w:type="dxa"/>
            <w:vAlign w:val="bottom"/>
            <w:gridSpan w:val="2"/>
            <w:shd w:val="clear" w:color="auto" w:fill="212322"/>
          </w:tcPr>
          <w:p>
            <w:pPr>
              <w:jc w:val="right"/>
              <w:ind w:right="297"/>
              <w:spacing w:after="0"/>
              <w:rPr>
                <w:sz w:val="20"/>
                <w:szCs w:val="20"/>
                <w:color w:val="auto"/>
              </w:rPr>
            </w:pPr>
            <w:r>
              <w:rPr>
                <w:rFonts w:ascii="Arial" w:cs="Arial" w:eastAsia="Arial" w:hAnsi="Arial"/>
                <w:sz w:val="13"/>
                <w:szCs w:val="13"/>
                <w:b w:val="1"/>
                <w:bCs w:val="1"/>
                <w:color w:val="FFFFFF"/>
              </w:rPr>
              <w:t>Number of Securities</w:t>
            </w:r>
          </w:p>
        </w:tc>
        <w:tc>
          <w:tcPr>
            <w:tcW w:w="300" w:type="dxa"/>
            <w:vAlign w:val="bottom"/>
            <w:shd w:val="clear" w:color="auto" w:fill="212322"/>
          </w:tcPr>
          <w:p>
            <w:pPr>
              <w:spacing w:after="0"/>
              <w:rPr>
                <w:sz w:val="15"/>
                <w:szCs w:val="15"/>
                <w:color w:val="auto"/>
              </w:rPr>
            </w:pPr>
          </w:p>
        </w:tc>
        <w:tc>
          <w:tcPr>
            <w:tcW w:w="880" w:type="dxa"/>
            <w:vAlign w:val="bottom"/>
            <w:shd w:val="clear" w:color="auto" w:fill="212322"/>
          </w:tcPr>
          <w:p>
            <w:pPr>
              <w:spacing w:after="0"/>
              <w:rPr>
                <w:sz w:val="15"/>
                <w:szCs w:val="15"/>
                <w:color w:val="auto"/>
              </w:rPr>
            </w:pPr>
          </w:p>
        </w:tc>
        <w:tc>
          <w:tcPr>
            <w:tcW w:w="180" w:type="dxa"/>
            <w:vAlign w:val="bottom"/>
            <w:shd w:val="clear" w:color="auto" w:fill="212322"/>
          </w:tcPr>
          <w:p>
            <w:pPr>
              <w:spacing w:after="0"/>
              <w:rPr>
                <w:sz w:val="15"/>
                <w:szCs w:val="15"/>
                <w:color w:val="auto"/>
              </w:rPr>
            </w:pPr>
          </w:p>
        </w:tc>
        <w:tc>
          <w:tcPr>
            <w:tcW w:w="1120" w:type="dxa"/>
            <w:vAlign w:val="bottom"/>
            <w:shd w:val="clear" w:color="auto" w:fill="212322"/>
          </w:tcPr>
          <w:p>
            <w:pPr>
              <w:spacing w:after="0"/>
              <w:rPr>
                <w:sz w:val="15"/>
                <w:szCs w:val="15"/>
                <w:color w:val="auto"/>
              </w:rPr>
            </w:pPr>
          </w:p>
        </w:tc>
        <w:tc>
          <w:tcPr>
            <w:tcW w:w="820" w:type="dxa"/>
            <w:vAlign w:val="bottom"/>
            <w:gridSpan w:val="2"/>
            <w:shd w:val="clear" w:color="auto" w:fill="212322"/>
          </w:tcPr>
          <w:p>
            <w:pPr>
              <w:jc w:val="center"/>
              <w:ind w:right="40"/>
              <w:spacing w:after="0"/>
              <w:rPr>
                <w:sz w:val="20"/>
                <w:szCs w:val="20"/>
                <w:color w:val="auto"/>
              </w:rPr>
            </w:pPr>
            <w:r>
              <w:rPr>
                <w:rFonts w:ascii="Arial" w:cs="Arial" w:eastAsia="Arial" w:hAnsi="Arial"/>
                <w:sz w:val="13"/>
                <w:szCs w:val="13"/>
                <w:b w:val="1"/>
                <w:bCs w:val="1"/>
                <w:color w:val="FFFFFF"/>
                <w:w w:val="97"/>
              </w:rPr>
              <w:t>Shares of</w:t>
            </w:r>
          </w:p>
        </w:tc>
        <w:tc>
          <w:tcPr>
            <w:tcW w:w="260" w:type="dxa"/>
            <w:vAlign w:val="bottom"/>
            <w:shd w:val="clear" w:color="auto" w:fill="212322"/>
          </w:tcPr>
          <w:p>
            <w:pPr>
              <w:spacing w:after="0"/>
              <w:rPr>
                <w:sz w:val="15"/>
                <w:szCs w:val="15"/>
                <w:color w:val="auto"/>
              </w:rPr>
            </w:pPr>
          </w:p>
        </w:tc>
        <w:tc>
          <w:tcPr>
            <w:tcW w:w="880" w:type="dxa"/>
            <w:vAlign w:val="bottom"/>
            <w:shd w:val="clear" w:color="auto" w:fill="212322"/>
          </w:tcPr>
          <w:p>
            <w:pPr>
              <w:jc w:val="center"/>
              <w:ind w:right="57"/>
              <w:spacing w:after="0"/>
              <w:rPr>
                <w:sz w:val="20"/>
                <w:szCs w:val="20"/>
                <w:color w:val="auto"/>
              </w:rPr>
            </w:pPr>
            <w:r>
              <w:rPr>
                <w:rFonts w:ascii="Arial" w:cs="Arial" w:eastAsia="Arial" w:hAnsi="Arial"/>
                <w:sz w:val="13"/>
                <w:szCs w:val="13"/>
                <w:b w:val="1"/>
                <w:bCs w:val="1"/>
                <w:color w:val="FFFFFF"/>
                <w:w w:val="94"/>
              </w:rPr>
              <w:t>Value of</w:t>
            </w:r>
          </w:p>
        </w:tc>
      </w:tr>
      <w:tr>
        <w:trPr>
          <w:trHeight w:val="175"/>
        </w:trPr>
        <w:tc>
          <w:tcPr>
            <w:tcW w:w="2120" w:type="dxa"/>
            <w:vAlign w:val="bottom"/>
            <w:shd w:val="clear" w:color="auto" w:fill="212322"/>
          </w:tcPr>
          <w:p>
            <w:pPr>
              <w:spacing w:after="0"/>
              <w:rPr>
                <w:sz w:val="15"/>
                <w:szCs w:val="15"/>
                <w:color w:val="auto"/>
              </w:rPr>
            </w:pPr>
          </w:p>
        </w:tc>
        <w:tc>
          <w:tcPr>
            <w:tcW w:w="200" w:type="dxa"/>
            <w:vAlign w:val="bottom"/>
            <w:shd w:val="clear" w:color="auto" w:fill="212322"/>
          </w:tcPr>
          <w:p>
            <w:pPr>
              <w:ind w:left="80"/>
              <w:spacing w:after="0"/>
              <w:rPr>
                <w:sz w:val="20"/>
                <w:szCs w:val="20"/>
                <w:color w:val="auto"/>
              </w:rPr>
            </w:pPr>
            <w:r>
              <w:rPr>
                <w:rFonts w:ascii="Arial" w:cs="Arial" w:eastAsia="Arial" w:hAnsi="Arial"/>
                <w:sz w:val="13"/>
                <w:szCs w:val="13"/>
                <w:color w:val="FFFFFF"/>
              </w:rPr>
              <w:t>​​​</w:t>
            </w:r>
          </w:p>
        </w:tc>
        <w:tc>
          <w:tcPr>
            <w:tcW w:w="780" w:type="dxa"/>
            <w:vAlign w:val="bottom"/>
            <w:shd w:val="clear" w:color="auto" w:fill="212322"/>
          </w:tcPr>
          <w:p>
            <w:pPr>
              <w:spacing w:after="0"/>
              <w:rPr>
                <w:sz w:val="15"/>
                <w:szCs w:val="15"/>
                <w:color w:val="auto"/>
              </w:rPr>
            </w:pPr>
          </w:p>
        </w:tc>
        <w:tc>
          <w:tcPr>
            <w:tcW w:w="200" w:type="dxa"/>
            <w:vAlign w:val="bottom"/>
            <w:shd w:val="clear" w:color="auto" w:fill="212322"/>
          </w:tcPr>
          <w:p>
            <w:pPr>
              <w:ind w:left="60"/>
              <w:spacing w:after="0"/>
              <w:rPr>
                <w:sz w:val="20"/>
                <w:szCs w:val="20"/>
                <w:color w:val="auto"/>
              </w:rPr>
            </w:pPr>
            <w:r>
              <w:rPr>
                <w:rFonts w:ascii="Arial" w:cs="Arial" w:eastAsia="Arial" w:hAnsi="Arial"/>
                <w:sz w:val="13"/>
                <w:szCs w:val="13"/>
                <w:color w:val="FFFFFF"/>
              </w:rPr>
              <w:t>​​​</w:t>
            </w:r>
          </w:p>
        </w:tc>
        <w:tc>
          <w:tcPr>
            <w:tcW w:w="1980" w:type="dxa"/>
            <w:vAlign w:val="bottom"/>
            <w:gridSpan w:val="2"/>
            <w:shd w:val="clear" w:color="auto" w:fill="212322"/>
          </w:tcPr>
          <w:p>
            <w:pPr>
              <w:jc w:val="right"/>
              <w:spacing w:after="0"/>
              <w:rPr>
                <w:sz w:val="20"/>
                <w:szCs w:val="20"/>
                <w:color w:val="auto"/>
              </w:rPr>
            </w:pPr>
            <w:r>
              <w:rPr>
                <w:rFonts w:ascii="Arial" w:cs="Arial" w:eastAsia="Arial" w:hAnsi="Arial"/>
                <w:sz w:val="13"/>
                <w:szCs w:val="13"/>
                <w:b w:val="1"/>
                <w:bCs w:val="1"/>
                <w:color w:val="FFFFFF"/>
                <w:w w:val="96"/>
              </w:rPr>
              <w:t>Underlying Unexercised Options</w:t>
            </w:r>
          </w:p>
        </w:tc>
        <w:tc>
          <w:tcPr>
            <w:tcW w:w="300" w:type="dxa"/>
            <w:vAlign w:val="bottom"/>
            <w:shd w:val="clear" w:color="auto" w:fill="212322"/>
          </w:tcPr>
          <w:p>
            <w:pPr>
              <w:spacing w:after="0"/>
              <w:rPr>
                <w:sz w:val="15"/>
                <w:szCs w:val="15"/>
                <w:color w:val="auto"/>
              </w:rPr>
            </w:pPr>
          </w:p>
        </w:tc>
        <w:tc>
          <w:tcPr>
            <w:tcW w:w="880" w:type="dxa"/>
            <w:vAlign w:val="bottom"/>
            <w:shd w:val="clear" w:color="auto" w:fill="212322"/>
          </w:tcPr>
          <w:p>
            <w:pPr>
              <w:jc w:val="center"/>
              <w:ind w:right="37"/>
              <w:spacing w:after="0"/>
              <w:rPr>
                <w:sz w:val="20"/>
                <w:szCs w:val="20"/>
                <w:color w:val="auto"/>
              </w:rPr>
            </w:pPr>
            <w:r>
              <w:rPr>
                <w:rFonts w:ascii="Arial" w:cs="Arial" w:eastAsia="Arial" w:hAnsi="Arial"/>
                <w:sz w:val="13"/>
                <w:szCs w:val="13"/>
                <w:b w:val="1"/>
                <w:bCs w:val="1"/>
                <w:color w:val="FFFFFF"/>
              </w:rPr>
              <w:t>Option</w:t>
            </w:r>
          </w:p>
        </w:tc>
        <w:tc>
          <w:tcPr>
            <w:tcW w:w="180" w:type="dxa"/>
            <w:vAlign w:val="bottom"/>
            <w:shd w:val="clear" w:color="auto" w:fill="212322"/>
          </w:tcPr>
          <w:p>
            <w:pPr>
              <w:ind w:left="60"/>
              <w:spacing w:after="0"/>
              <w:rPr>
                <w:sz w:val="20"/>
                <w:szCs w:val="20"/>
                <w:color w:val="auto"/>
              </w:rPr>
            </w:pPr>
            <w:r>
              <w:rPr>
                <w:rFonts w:ascii="Arial" w:cs="Arial" w:eastAsia="Arial" w:hAnsi="Arial"/>
                <w:sz w:val="13"/>
                <w:szCs w:val="13"/>
                <w:color w:val="FFFFFF"/>
              </w:rPr>
              <w:t>​​​</w:t>
            </w:r>
          </w:p>
        </w:tc>
        <w:tc>
          <w:tcPr>
            <w:tcW w:w="1120" w:type="dxa"/>
            <w:vAlign w:val="bottom"/>
            <w:shd w:val="clear" w:color="auto" w:fill="212322"/>
          </w:tcPr>
          <w:p>
            <w:pPr>
              <w:jc w:val="right"/>
              <w:spacing w:after="0"/>
              <w:rPr>
                <w:sz w:val="20"/>
                <w:szCs w:val="20"/>
                <w:color w:val="auto"/>
              </w:rPr>
            </w:pPr>
            <w:r>
              <w:rPr>
                <w:rFonts w:ascii="Arial" w:cs="Arial" w:eastAsia="Arial" w:hAnsi="Arial"/>
                <w:sz w:val="13"/>
                <w:szCs w:val="13"/>
                <w:color w:val="FFFFFF"/>
              </w:rPr>
              <w:t>​​​</w:t>
            </w:r>
          </w:p>
        </w:tc>
        <w:tc>
          <w:tcPr>
            <w:tcW w:w="820" w:type="dxa"/>
            <w:vAlign w:val="bottom"/>
            <w:gridSpan w:val="2"/>
            <w:shd w:val="clear" w:color="auto" w:fill="212322"/>
          </w:tcPr>
          <w:p>
            <w:pPr>
              <w:jc w:val="center"/>
              <w:ind w:right="60"/>
              <w:spacing w:after="0"/>
              <w:rPr>
                <w:sz w:val="20"/>
                <w:szCs w:val="20"/>
                <w:color w:val="auto"/>
              </w:rPr>
            </w:pPr>
            <w:r>
              <w:rPr>
                <w:rFonts w:ascii="Arial" w:cs="Arial" w:eastAsia="Arial" w:hAnsi="Arial"/>
                <w:sz w:val="13"/>
                <w:szCs w:val="13"/>
                <w:b w:val="1"/>
                <w:bCs w:val="1"/>
                <w:color w:val="FFFFFF"/>
                <w:w w:val="95"/>
              </w:rPr>
              <w:t>Stock that</w:t>
            </w:r>
          </w:p>
        </w:tc>
        <w:tc>
          <w:tcPr>
            <w:tcW w:w="1140" w:type="dxa"/>
            <w:vAlign w:val="bottom"/>
            <w:gridSpan w:val="2"/>
            <w:shd w:val="clear" w:color="auto" w:fill="212322"/>
          </w:tcPr>
          <w:p>
            <w:pPr>
              <w:jc w:val="right"/>
              <w:spacing w:after="0"/>
              <w:rPr>
                <w:sz w:val="20"/>
                <w:szCs w:val="20"/>
                <w:color w:val="auto"/>
              </w:rPr>
            </w:pPr>
            <w:r>
              <w:rPr>
                <w:rFonts w:ascii="Arial" w:cs="Arial" w:eastAsia="Arial" w:hAnsi="Arial"/>
                <w:sz w:val="13"/>
                <w:szCs w:val="13"/>
                <w:color w:val="FFFFFF"/>
              </w:rPr>
              <w:t xml:space="preserve">​​​ </w:t>
            </w:r>
            <w:r>
              <w:rPr>
                <w:rFonts w:ascii="Arial" w:cs="Arial" w:eastAsia="Arial" w:hAnsi="Arial"/>
                <w:sz w:val="13"/>
                <w:szCs w:val="13"/>
                <w:b w:val="1"/>
                <w:bCs w:val="1"/>
                <w:color w:val="FFFFFF"/>
              </w:rPr>
              <w:t>Shares of Stock</w:t>
            </w:r>
          </w:p>
        </w:tc>
      </w:tr>
      <w:tr>
        <w:trPr>
          <w:trHeight w:val="195"/>
        </w:trPr>
        <w:tc>
          <w:tcPr>
            <w:tcW w:w="212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780" w:type="dxa"/>
            <w:vAlign w:val="bottom"/>
            <w:shd w:val="clear" w:color="auto" w:fill="212322"/>
          </w:tcPr>
          <w:p>
            <w:pPr>
              <w:spacing w:after="0"/>
              <w:rPr>
                <w:sz w:val="16"/>
                <w:szCs w:val="16"/>
                <w:color w:val="auto"/>
              </w:rPr>
            </w:pPr>
          </w:p>
        </w:tc>
        <w:tc>
          <w:tcPr>
            <w:tcW w:w="200" w:type="dxa"/>
            <w:vAlign w:val="bottom"/>
            <w:shd w:val="clear" w:color="auto" w:fill="212322"/>
          </w:tcPr>
          <w:p>
            <w:pPr>
              <w:spacing w:after="0"/>
              <w:rPr>
                <w:sz w:val="16"/>
                <w:szCs w:val="16"/>
                <w:color w:val="auto"/>
              </w:rPr>
            </w:pPr>
          </w:p>
        </w:tc>
        <w:tc>
          <w:tcPr>
            <w:tcW w:w="920" w:type="dxa"/>
            <w:vAlign w:val="bottom"/>
            <w:shd w:val="clear" w:color="auto" w:fill="212322"/>
          </w:tcPr>
          <w:p>
            <w:pPr>
              <w:spacing w:after="0"/>
              <w:rPr>
                <w:sz w:val="16"/>
                <w:szCs w:val="16"/>
                <w:color w:val="auto"/>
              </w:rPr>
            </w:pPr>
          </w:p>
        </w:tc>
        <w:tc>
          <w:tcPr>
            <w:tcW w:w="1060" w:type="dxa"/>
            <w:vAlign w:val="bottom"/>
            <w:shd w:val="clear" w:color="auto" w:fill="212322"/>
          </w:tcPr>
          <w:p>
            <w:pPr>
              <w:spacing w:after="0"/>
              <w:rPr>
                <w:sz w:val="16"/>
                <w:szCs w:val="16"/>
                <w:color w:val="auto"/>
              </w:rPr>
            </w:pPr>
          </w:p>
        </w:tc>
        <w:tc>
          <w:tcPr>
            <w:tcW w:w="300" w:type="dxa"/>
            <w:vAlign w:val="bottom"/>
            <w:shd w:val="clear" w:color="auto" w:fill="212322"/>
          </w:tcPr>
          <w:p>
            <w:pPr>
              <w:spacing w:after="0"/>
              <w:rPr>
                <w:sz w:val="16"/>
                <w:szCs w:val="16"/>
                <w:color w:val="auto"/>
              </w:rPr>
            </w:pPr>
          </w:p>
        </w:tc>
        <w:tc>
          <w:tcPr>
            <w:tcW w:w="880" w:type="dxa"/>
            <w:vAlign w:val="bottom"/>
            <w:shd w:val="clear" w:color="auto" w:fill="212322"/>
          </w:tcPr>
          <w:p>
            <w:pPr>
              <w:jc w:val="center"/>
              <w:ind w:right="17"/>
              <w:spacing w:after="0"/>
              <w:rPr>
                <w:sz w:val="20"/>
                <w:szCs w:val="20"/>
                <w:color w:val="auto"/>
              </w:rPr>
            </w:pPr>
            <w:r>
              <w:rPr>
                <w:rFonts w:ascii="Arial" w:cs="Arial" w:eastAsia="Arial" w:hAnsi="Arial"/>
                <w:sz w:val="13"/>
                <w:szCs w:val="13"/>
                <w:b w:val="1"/>
                <w:bCs w:val="1"/>
                <w:color w:val="FFFFFF"/>
                <w:w w:val="97"/>
              </w:rPr>
              <w:t>Exercise</w:t>
            </w:r>
          </w:p>
        </w:tc>
        <w:tc>
          <w:tcPr>
            <w:tcW w:w="180" w:type="dxa"/>
            <w:vAlign w:val="bottom"/>
            <w:shd w:val="clear" w:color="auto" w:fill="212322"/>
          </w:tcPr>
          <w:p>
            <w:pPr>
              <w:spacing w:after="0"/>
              <w:rPr>
                <w:sz w:val="16"/>
                <w:szCs w:val="16"/>
                <w:color w:val="auto"/>
              </w:rPr>
            </w:pPr>
          </w:p>
        </w:tc>
        <w:tc>
          <w:tcPr>
            <w:tcW w:w="1120" w:type="dxa"/>
            <w:vAlign w:val="bottom"/>
            <w:shd w:val="clear" w:color="auto" w:fill="212322"/>
          </w:tcPr>
          <w:p>
            <w:pPr>
              <w:jc w:val="right"/>
              <w:ind w:right="397"/>
              <w:spacing w:after="0"/>
              <w:rPr>
                <w:sz w:val="20"/>
                <w:szCs w:val="20"/>
                <w:color w:val="auto"/>
              </w:rPr>
            </w:pPr>
            <w:r>
              <w:rPr>
                <w:rFonts w:ascii="Arial" w:cs="Arial" w:eastAsia="Arial" w:hAnsi="Arial"/>
                <w:sz w:val="13"/>
                <w:szCs w:val="13"/>
                <w:b w:val="1"/>
                <w:bCs w:val="1"/>
                <w:color w:val="FFFFFF"/>
              </w:rPr>
              <w:t>Option</w:t>
            </w:r>
          </w:p>
        </w:tc>
        <w:tc>
          <w:tcPr>
            <w:tcW w:w="820" w:type="dxa"/>
            <w:vAlign w:val="bottom"/>
            <w:gridSpan w:val="2"/>
            <w:shd w:val="clear" w:color="auto" w:fill="212322"/>
          </w:tcPr>
          <w:p>
            <w:pPr>
              <w:jc w:val="center"/>
              <w:ind w:right="60"/>
              <w:spacing w:after="0"/>
              <w:rPr>
                <w:sz w:val="20"/>
                <w:szCs w:val="20"/>
                <w:color w:val="auto"/>
              </w:rPr>
            </w:pPr>
            <w:r>
              <w:rPr>
                <w:rFonts w:ascii="Arial" w:cs="Arial" w:eastAsia="Arial" w:hAnsi="Arial"/>
                <w:sz w:val="13"/>
                <w:szCs w:val="13"/>
                <w:b w:val="1"/>
                <w:bCs w:val="1"/>
                <w:color w:val="FFFFFF"/>
                <w:w w:val="97"/>
              </w:rPr>
              <w:t>have not</w:t>
            </w:r>
          </w:p>
        </w:tc>
        <w:tc>
          <w:tcPr>
            <w:tcW w:w="1140" w:type="dxa"/>
            <w:vAlign w:val="bottom"/>
            <w:gridSpan w:val="2"/>
            <w:shd w:val="clear" w:color="auto" w:fill="212322"/>
          </w:tcPr>
          <w:p>
            <w:pPr>
              <w:jc w:val="center"/>
              <w:ind w:left="97"/>
              <w:spacing w:after="0"/>
              <w:rPr>
                <w:sz w:val="20"/>
                <w:szCs w:val="20"/>
                <w:color w:val="auto"/>
              </w:rPr>
            </w:pPr>
            <w:r>
              <w:rPr>
                <w:rFonts w:ascii="Arial" w:cs="Arial" w:eastAsia="Arial" w:hAnsi="Arial"/>
                <w:sz w:val="13"/>
                <w:szCs w:val="13"/>
                <w:b w:val="1"/>
                <w:bCs w:val="1"/>
                <w:color w:val="FFFFFF"/>
                <w:w w:val="96"/>
              </w:rPr>
              <w:t>that have not</w:t>
            </w:r>
          </w:p>
        </w:tc>
      </w:tr>
      <w:tr>
        <w:trPr>
          <w:trHeight w:val="157"/>
        </w:trPr>
        <w:tc>
          <w:tcPr>
            <w:tcW w:w="2120" w:type="dxa"/>
            <w:vAlign w:val="bottom"/>
            <w:shd w:val="clear" w:color="auto" w:fill="212322"/>
          </w:tcPr>
          <w:p>
            <w:pPr>
              <w:spacing w:after="0"/>
              <w:rPr>
                <w:sz w:val="20"/>
                <w:szCs w:val="20"/>
                <w:color w:val="auto"/>
              </w:rPr>
            </w:pPr>
            <w:r>
              <w:rPr>
                <w:rFonts w:ascii="Arial" w:cs="Arial" w:eastAsia="Arial" w:hAnsi="Arial"/>
                <w:sz w:val="13"/>
                <w:szCs w:val="13"/>
                <w:b w:val="1"/>
                <w:bCs w:val="1"/>
                <w:color w:val="FFFFFF"/>
              </w:rPr>
              <w:t>Name</w:t>
            </w:r>
          </w:p>
        </w:tc>
        <w:tc>
          <w:tcPr>
            <w:tcW w:w="200" w:type="dxa"/>
            <w:vAlign w:val="bottom"/>
            <w:shd w:val="clear" w:color="auto" w:fill="212322"/>
          </w:tcPr>
          <w:p>
            <w:pPr>
              <w:spacing w:after="0"/>
              <w:rPr>
                <w:sz w:val="13"/>
                <w:szCs w:val="13"/>
                <w:color w:val="auto"/>
              </w:rPr>
            </w:pPr>
          </w:p>
        </w:tc>
        <w:tc>
          <w:tcPr>
            <w:tcW w:w="780" w:type="dxa"/>
            <w:vAlign w:val="bottom"/>
            <w:shd w:val="clear" w:color="auto" w:fill="212322"/>
          </w:tcPr>
          <w:p>
            <w:pPr>
              <w:jc w:val="right"/>
              <w:spacing w:after="0"/>
              <w:rPr>
                <w:sz w:val="20"/>
                <w:szCs w:val="20"/>
                <w:color w:val="auto"/>
              </w:rPr>
            </w:pPr>
            <w:r>
              <w:rPr>
                <w:rFonts w:ascii="Arial" w:cs="Arial" w:eastAsia="Arial" w:hAnsi="Arial"/>
                <w:sz w:val="13"/>
                <w:szCs w:val="13"/>
                <w:b w:val="1"/>
                <w:bCs w:val="1"/>
                <w:color w:val="FFFFFF"/>
              </w:rPr>
              <w:t>Grant Date</w:t>
            </w:r>
          </w:p>
        </w:tc>
        <w:tc>
          <w:tcPr>
            <w:tcW w:w="200" w:type="dxa"/>
            <w:vAlign w:val="bottom"/>
            <w:shd w:val="clear" w:color="auto" w:fill="212322"/>
          </w:tcPr>
          <w:p>
            <w:pPr>
              <w:spacing w:after="0"/>
              <w:rPr>
                <w:sz w:val="13"/>
                <w:szCs w:val="13"/>
                <w:color w:val="auto"/>
              </w:rPr>
            </w:pPr>
          </w:p>
        </w:tc>
        <w:tc>
          <w:tcPr>
            <w:tcW w:w="920" w:type="dxa"/>
            <w:vAlign w:val="bottom"/>
            <w:shd w:val="clear" w:color="auto" w:fill="212322"/>
          </w:tcPr>
          <w:p>
            <w:pPr>
              <w:jc w:val="right"/>
              <w:ind w:right="97"/>
              <w:spacing w:after="0"/>
              <w:rPr>
                <w:sz w:val="20"/>
                <w:szCs w:val="20"/>
                <w:color w:val="auto"/>
              </w:rPr>
            </w:pPr>
            <w:r>
              <w:rPr>
                <w:rFonts w:ascii="Arial" w:cs="Arial" w:eastAsia="Arial" w:hAnsi="Arial"/>
                <w:sz w:val="13"/>
                <w:szCs w:val="13"/>
                <w:b w:val="1"/>
                <w:bCs w:val="1"/>
                <w:color w:val="FFFFFF"/>
              </w:rPr>
              <w:t>Exercisable</w:t>
            </w:r>
          </w:p>
        </w:tc>
        <w:tc>
          <w:tcPr>
            <w:tcW w:w="1060" w:type="dxa"/>
            <w:vAlign w:val="bottom"/>
            <w:shd w:val="clear" w:color="auto" w:fill="212322"/>
          </w:tcPr>
          <w:p>
            <w:pPr>
              <w:jc w:val="right"/>
              <w:spacing w:after="0"/>
              <w:rPr>
                <w:sz w:val="20"/>
                <w:szCs w:val="20"/>
                <w:color w:val="auto"/>
              </w:rPr>
            </w:pPr>
            <w:r>
              <w:rPr>
                <w:rFonts w:ascii="Arial" w:cs="Arial" w:eastAsia="Arial" w:hAnsi="Arial"/>
                <w:sz w:val="13"/>
                <w:szCs w:val="13"/>
                <w:b w:val="1"/>
                <w:bCs w:val="1"/>
                <w:color w:val="FFFFFF"/>
              </w:rPr>
              <w:t>Unexercisable</w:t>
            </w:r>
          </w:p>
        </w:tc>
        <w:tc>
          <w:tcPr>
            <w:tcW w:w="300" w:type="dxa"/>
            <w:vAlign w:val="bottom"/>
            <w:shd w:val="clear" w:color="auto" w:fill="212322"/>
          </w:tcPr>
          <w:p>
            <w:pPr>
              <w:spacing w:after="0"/>
              <w:rPr>
                <w:sz w:val="13"/>
                <w:szCs w:val="13"/>
                <w:color w:val="auto"/>
              </w:rPr>
            </w:pPr>
          </w:p>
        </w:tc>
        <w:tc>
          <w:tcPr>
            <w:tcW w:w="880" w:type="dxa"/>
            <w:vAlign w:val="bottom"/>
            <w:shd w:val="clear" w:color="auto" w:fill="212322"/>
          </w:tcPr>
          <w:p>
            <w:pPr>
              <w:jc w:val="center"/>
              <w:ind w:right="37"/>
              <w:spacing w:after="0"/>
              <w:rPr>
                <w:sz w:val="20"/>
                <w:szCs w:val="20"/>
                <w:color w:val="auto"/>
              </w:rPr>
            </w:pPr>
            <w:r>
              <w:rPr>
                <w:rFonts w:ascii="Arial" w:cs="Arial" w:eastAsia="Arial" w:hAnsi="Arial"/>
                <w:sz w:val="13"/>
                <w:szCs w:val="13"/>
                <w:b w:val="1"/>
                <w:bCs w:val="1"/>
                <w:color w:val="FFFFFF"/>
                <w:w w:val="97"/>
              </w:rPr>
              <w:t>Price ($)</w:t>
            </w:r>
          </w:p>
        </w:tc>
        <w:tc>
          <w:tcPr>
            <w:tcW w:w="180" w:type="dxa"/>
            <w:vAlign w:val="bottom"/>
            <w:shd w:val="clear" w:color="auto" w:fill="212322"/>
          </w:tcPr>
          <w:p>
            <w:pPr>
              <w:spacing w:after="0"/>
              <w:rPr>
                <w:sz w:val="13"/>
                <w:szCs w:val="13"/>
                <w:color w:val="auto"/>
              </w:rPr>
            </w:pPr>
          </w:p>
        </w:tc>
        <w:tc>
          <w:tcPr>
            <w:tcW w:w="1120" w:type="dxa"/>
            <w:vAlign w:val="bottom"/>
            <w:shd w:val="clear" w:color="auto" w:fill="212322"/>
          </w:tcPr>
          <w:p>
            <w:pPr>
              <w:jc w:val="right"/>
              <w:ind w:right="137"/>
              <w:spacing w:after="0"/>
              <w:rPr>
                <w:sz w:val="20"/>
                <w:szCs w:val="20"/>
                <w:color w:val="auto"/>
              </w:rPr>
            </w:pPr>
            <w:r>
              <w:rPr>
                <w:rFonts w:ascii="Arial" w:cs="Arial" w:eastAsia="Arial" w:hAnsi="Arial"/>
                <w:sz w:val="13"/>
                <w:szCs w:val="13"/>
                <w:b w:val="1"/>
                <w:bCs w:val="1"/>
                <w:color w:val="FFFFFF"/>
                <w:w w:val="94"/>
              </w:rPr>
              <w:t>Expiration Date</w:t>
            </w:r>
          </w:p>
        </w:tc>
        <w:tc>
          <w:tcPr>
            <w:tcW w:w="820" w:type="dxa"/>
            <w:vAlign w:val="bottom"/>
            <w:gridSpan w:val="2"/>
            <w:shd w:val="clear" w:color="auto" w:fill="212322"/>
          </w:tcPr>
          <w:p>
            <w:pPr>
              <w:jc w:val="center"/>
              <w:ind w:right="40"/>
              <w:spacing w:after="0"/>
              <w:rPr>
                <w:sz w:val="20"/>
                <w:szCs w:val="20"/>
                <w:color w:val="auto"/>
              </w:rPr>
            </w:pPr>
            <w:r>
              <w:rPr>
                <w:rFonts w:ascii="Arial" w:cs="Arial" w:eastAsia="Arial" w:hAnsi="Arial"/>
                <w:sz w:val="13"/>
                <w:szCs w:val="13"/>
                <w:b w:val="1"/>
                <w:bCs w:val="1"/>
                <w:color w:val="FFFFFF"/>
                <w:w w:val="95"/>
              </w:rPr>
              <w:t>Vested (4) (5)</w:t>
            </w:r>
          </w:p>
        </w:tc>
        <w:tc>
          <w:tcPr>
            <w:tcW w:w="1140" w:type="dxa"/>
            <w:vAlign w:val="bottom"/>
            <w:gridSpan w:val="2"/>
            <w:shd w:val="clear" w:color="auto" w:fill="212322"/>
          </w:tcPr>
          <w:p>
            <w:pPr>
              <w:jc w:val="center"/>
              <w:ind w:left="97"/>
              <w:spacing w:after="0"/>
              <w:rPr>
                <w:sz w:val="20"/>
                <w:szCs w:val="20"/>
                <w:color w:val="auto"/>
              </w:rPr>
            </w:pPr>
            <w:r>
              <w:rPr>
                <w:rFonts w:ascii="Arial" w:cs="Arial" w:eastAsia="Arial" w:hAnsi="Arial"/>
                <w:sz w:val="13"/>
                <w:szCs w:val="13"/>
                <w:b w:val="1"/>
                <w:bCs w:val="1"/>
                <w:color w:val="FFFFFF"/>
                <w:w w:val="95"/>
              </w:rPr>
              <w:t>Vested ($) (6)</w:t>
            </w:r>
          </w:p>
        </w:tc>
      </w:tr>
      <w:tr>
        <w:trPr>
          <w:trHeight w:val="194"/>
        </w:trPr>
        <w:tc>
          <w:tcPr>
            <w:tcW w:w="2120" w:type="dxa"/>
            <w:vAlign w:val="bottom"/>
          </w:tcPr>
          <w:p>
            <w:pPr>
              <w:spacing w:after="0"/>
              <w:rPr>
                <w:sz w:val="20"/>
                <w:szCs w:val="20"/>
                <w:color w:val="auto"/>
              </w:rPr>
            </w:pPr>
            <w:r>
              <w:rPr>
                <w:rFonts w:ascii="Arial" w:cs="Arial" w:eastAsia="Arial" w:hAnsi="Arial"/>
                <w:sz w:val="13"/>
                <w:szCs w:val="13"/>
                <w:b w:val="1"/>
                <w:bCs w:val="1"/>
                <w:color w:val="F37F00"/>
              </w:rPr>
              <w:t>Philip B. Daniele, III</w:t>
            </w: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9/26/2017</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1,927</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587.13</w:t>
            </w:r>
          </w:p>
        </w:tc>
        <w:tc>
          <w:tcPr>
            <w:tcW w:w="180" w:type="dxa"/>
            <w:vAlign w:val="bottom"/>
          </w:tcPr>
          <w:p>
            <w:pPr>
              <w:spacing w:after="0"/>
              <w:rPr>
                <w:sz w:val="16"/>
                <w:szCs w:val="16"/>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9/27/2027</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9/25/2018</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5,450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772.80</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9/26/2028</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10/7/2019</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6,620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1,060.81</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10/8/2029</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10/7/2020</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4,800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1,139.99</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10/8/2030</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6/16/2021</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500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1,390.47</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6/16/2031</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10/5/2021</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5,590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1,651.22</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10/5/2031</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10/4/2022</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3,930</w:t>
            </w:r>
          </w:p>
        </w:tc>
        <w:tc>
          <w:tcPr>
            <w:tcW w:w="1060" w:type="dxa"/>
            <w:vAlign w:val="bottom"/>
          </w:tcPr>
          <w:p>
            <w:pPr>
              <w:jc w:val="right"/>
              <w:spacing w:after="0"/>
              <w:rPr>
                <w:sz w:val="20"/>
                <w:szCs w:val="20"/>
                <w:color w:val="auto"/>
              </w:rPr>
            </w:pPr>
            <w:r>
              <w:rPr>
                <w:rFonts w:ascii="Arial" w:cs="Arial" w:eastAsia="Arial" w:hAnsi="Arial"/>
                <w:sz w:val="13"/>
                <w:szCs w:val="13"/>
                <w:color w:val="auto"/>
              </w:rPr>
              <w:t>1,310</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2,205.03</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10/4/2032</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10/6/2023</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2,643</w:t>
            </w:r>
          </w:p>
        </w:tc>
        <w:tc>
          <w:tcPr>
            <w:tcW w:w="1060" w:type="dxa"/>
            <w:vAlign w:val="bottom"/>
          </w:tcPr>
          <w:p>
            <w:pPr>
              <w:jc w:val="right"/>
              <w:spacing w:after="0"/>
              <w:rPr>
                <w:sz w:val="20"/>
                <w:szCs w:val="20"/>
                <w:color w:val="auto"/>
              </w:rPr>
            </w:pPr>
            <w:r>
              <w:rPr>
                <w:rFonts w:ascii="Arial" w:cs="Arial" w:eastAsia="Arial" w:hAnsi="Arial"/>
                <w:sz w:val="13"/>
                <w:szCs w:val="13"/>
                <w:color w:val="auto"/>
              </w:rPr>
              <w:t>2,644</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2,549.04</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10/6/2033</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1/2/2024</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1,070</w:t>
            </w:r>
          </w:p>
        </w:tc>
        <w:tc>
          <w:tcPr>
            <w:tcW w:w="1060" w:type="dxa"/>
            <w:vAlign w:val="bottom"/>
          </w:tcPr>
          <w:p>
            <w:pPr>
              <w:jc w:val="right"/>
              <w:spacing w:after="0"/>
              <w:rPr>
                <w:sz w:val="20"/>
                <w:szCs w:val="20"/>
                <w:color w:val="auto"/>
              </w:rPr>
            </w:pPr>
            <w:r>
              <w:rPr>
                <w:rFonts w:ascii="Arial" w:cs="Arial" w:eastAsia="Arial" w:hAnsi="Arial"/>
                <w:sz w:val="13"/>
                <w:szCs w:val="13"/>
                <w:color w:val="auto"/>
              </w:rPr>
              <w:t>1,070</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2,568.50</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1/2/2034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10/11/2024</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1,555</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880" w:type="dxa"/>
            <w:vAlign w:val="bottom"/>
          </w:tcPr>
          <w:p>
            <w:pPr>
              <w:jc w:val="right"/>
              <w:spacing w:after="0"/>
              <w:rPr>
                <w:sz w:val="20"/>
                <w:szCs w:val="20"/>
                <w:color w:val="auto"/>
              </w:rPr>
            </w:pPr>
            <w:r>
              <w:rPr>
                <w:rFonts w:ascii="Arial" w:cs="Arial" w:eastAsia="Arial" w:hAnsi="Arial"/>
                <w:sz w:val="13"/>
                <w:szCs w:val="13"/>
                <w:color w:val="auto"/>
              </w:rPr>
              <w:t>3,442.76</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10/11/2034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10/11/2024</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4,773</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880" w:type="dxa"/>
            <w:vAlign w:val="bottom"/>
          </w:tcPr>
          <w:p>
            <w:pPr>
              <w:jc w:val="right"/>
              <w:spacing w:after="0"/>
              <w:rPr>
                <w:sz w:val="20"/>
                <w:szCs w:val="20"/>
                <w:color w:val="auto"/>
              </w:rPr>
            </w:pPr>
            <w:r>
              <w:rPr>
                <w:rFonts w:ascii="Arial" w:cs="Arial" w:eastAsia="Arial" w:hAnsi="Arial"/>
                <w:sz w:val="13"/>
                <w:szCs w:val="13"/>
                <w:color w:val="auto"/>
              </w:rPr>
              <w:t>3,129.78</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10/11/2034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10/10/2025</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1,417</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880" w:type="dxa"/>
            <w:vAlign w:val="bottom"/>
          </w:tcPr>
          <w:p>
            <w:pPr>
              <w:jc w:val="right"/>
              <w:spacing w:after="0"/>
              <w:rPr>
                <w:sz w:val="20"/>
                <w:szCs w:val="20"/>
                <w:color w:val="auto"/>
              </w:rPr>
            </w:pPr>
            <w:r>
              <w:rPr>
                <w:rFonts w:ascii="Arial" w:cs="Arial" w:eastAsia="Arial" w:hAnsi="Arial"/>
                <w:sz w:val="13"/>
                <w:szCs w:val="13"/>
                <w:color w:val="auto"/>
              </w:rPr>
              <w:t>4,482.84</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10/10/2035</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10/10/2025</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4,253</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880" w:type="dxa"/>
            <w:vAlign w:val="bottom"/>
          </w:tcPr>
          <w:p>
            <w:pPr>
              <w:jc w:val="right"/>
              <w:spacing w:after="0"/>
              <w:rPr>
                <w:sz w:val="20"/>
                <w:szCs w:val="20"/>
                <w:color w:val="auto"/>
              </w:rPr>
            </w:pPr>
            <w:r>
              <w:rPr>
                <w:rFonts w:ascii="Arial" w:cs="Arial" w:eastAsia="Arial" w:hAnsi="Arial"/>
                <w:sz w:val="13"/>
                <w:szCs w:val="13"/>
                <w:color w:val="auto"/>
              </w:rPr>
              <w:t>4,075.31</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10/10/2035</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9/30/2025</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2,962</w:t>
            </w: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12/31/2025</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5,924</w:t>
            </w:r>
          </w:p>
        </w:tc>
      </w:tr>
      <w:tr>
        <w:trPr>
          <w:trHeight w:val="163"/>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3/31/2026</w:t>
            </w: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5,924</w:t>
            </w:r>
          </w:p>
        </w:tc>
      </w:tr>
      <w:tr>
        <w:trPr>
          <w:trHeight w:val="155"/>
        </w:trPr>
        <w:tc>
          <w:tcPr>
            <w:tcW w:w="2120" w:type="dxa"/>
            <w:vAlign w:val="bottom"/>
            <w:tcBorders>
              <w:bottom w:val="single" w:sz="8" w:color="808080"/>
            </w:tcBorders>
          </w:tcPr>
          <w:p>
            <w:pPr>
              <w:ind w:left="880"/>
              <w:spacing w:after="0"/>
              <w:rPr>
                <w:sz w:val="20"/>
                <w:szCs w:val="20"/>
                <w:color w:val="auto"/>
              </w:rPr>
            </w:pPr>
            <w:r>
              <w:rPr>
                <w:rFonts w:ascii="Arial" w:cs="Arial" w:eastAsia="Arial" w:hAnsi="Arial"/>
                <w:sz w:val="13"/>
                <w:szCs w:val="13"/>
                <w:b w:val="1"/>
                <w:bCs w:val="1"/>
                <w:color w:val="202124"/>
              </w:rPr>
              <w:t>Totals</w:t>
            </w:r>
          </w:p>
        </w:tc>
        <w:tc>
          <w:tcPr>
            <w:tcW w:w="2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gridSpan w:val="2"/>
          </w:tcPr>
          <w:p>
            <w:pPr>
              <w:jc w:val="right"/>
              <w:ind w:right="77"/>
              <w:spacing w:after="0"/>
              <w:rPr>
                <w:sz w:val="20"/>
                <w:szCs w:val="20"/>
                <w:color w:val="auto"/>
              </w:rPr>
            </w:pPr>
            <w:r>
              <w:rPr>
                <w:rFonts w:ascii="Arial" w:cs="Arial" w:eastAsia="Arial" w:hAnsi="Arial"/>
                <w:sz w:val="13"/>
                <w:szCs w:val="13"/>
                <w:b w:val="1"/>
                <w:bCs w:val="1"/>
                <w:color w:val="202124"/>
              </w:rPr>
              <w:t>32,530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17,022</w:t>
            </w:r>
          </w:p>
        </w:tc>
        <w:tc>
          <w:tcPr>
            <w:tcW w:w="3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5</w:t>
            </w:r>
          </w:p>
        </w:tc>
        <w:tc>
          <w:tcPr>
            <w:tcW w:w="4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gridSpan w:val="2"/>
          </w:tcPr>
          <w:p>
            <w:pPr>
              <w:jc w:val="right"/>
              <w:spacing w:after="0"/>
              <w:rPr>
                <w:sz w:val="20"/>
                <w:szCs w:val="20"/>
                <w:color w:val="auto"/>
              </w:rPr>
            </w:pPr>
            <w:r>
              <w:rPr>
                <w:rFonts w:ascii="Arial" w:cs="Arial" w:eastAsia="Arial" w:hAnsi="Arial"/>
                <w:sz w:val="13"/>
                <w:szCs w:val="13"/>
                <w:b w:val="1"/>
                <w:bCs w:val="1"/>
                <w:color w:val="202124"/>
              </w:rPr>
              <w:t>14,810</w:t>
            </w:r>
          </w:p>
        </w:tc>
      </w:tr>
      <w:tr>
        <w:trPr>
          <w:trHeight w:val="175"/>
        </w:trPr>
        <w:tc>
          <w:tcPr>
            <w:tcW w:w="2120" w:type="dxa"/>
            <w:vAlign w:val="bottom"/>
          </w:tcPr>
          <w:p>
            <w:pPr>
              <w:spacing w:after="0"/>
              <w:rPr>
                <w:sz w:val="20"/>
                <w:szCs w:val="20"/>
                <w:color w:val="auto"/>
              </w:rPr>
            </w:pPr>
            <w:r>
              <w:rPr>
                <w:rFonts w:ascii="Arial" w:cs="Arial" w:eastAsia="Arial" w:hAnsi="Arial"/>
                <w:sz w:val="13"/>
                <w:szCs w:val="13"/>
                <w:b w:val="1"/>
                <w:bCs w:val="1"/>
                <w:color w:val="F37F00"/>
              </w:rPr>
              <w:t>Jamere Jackson</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10/7/2020</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6,900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1,139.99</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10/8/2030</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9"/>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10/5/2021</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5,590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1,651.22</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10/5/2031</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10/4/2022</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3,930</w:t>
            </w:r>
          </w:p>
        </w:tc>
        <w:tc>
          <w:tcPr>
            <w:tcW w:w="1060" w:type="dxa"/>
            <w:vAlign w:val="bottom"/>
          </w:tcPr>
          <w:p>
            <w:pPr>
              <w:jc w:val="right"/>
              <w:spacing w:after="0"/>
              <w:rPr>
                <w:sz w:val="20"/>
                <w:szCs w:val="20"/>
                <w:color w:val="auto"/>
              </w:rPr>
            </w:pPr>
            <w:r>
              <w:rPr>
                <w:rFonts w:ascii="Arial" w:cs="Arial" w:eastAsia="Arial" w:hAnsi="Arial"/>
                <w:sz w:val="13"/>
                <w:szCs w:val="13"/>
                <w:color w:val="auto"/>
              </w:rPr>
              <w:t>1,310</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2,205.03</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10/4/2032</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10/6/2023</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2,643</w:t>
            </w:r>
          </w:p>
        </w:tc>
        <w:tc>
          <w:tcPr>
            <w:tcW w:w="1060" w:type="dxa"/>
            <w:vAlign w:val="bottom"/>
          </w:tcPr>
          <w:p>
            <w:pPr>
              <w:jc w:val="right"/>
              <w:spacing w:after="0"/>
              <w:rPr>
                <w:sz w:val="20"/>
                <w:szCs w:val="20"/>
                <w:color w:val="auto"/>
              </w:rPr>
            </w:pPr>
            <w:r>
              <w:rPr>
                <w:rFonts w:ascii="Arial" w:cs="Arial" w:eastAsia="Arial" w:hAnsi="Arial"/>
                <w:sz w:val="13"/>
                <w:szCs w:val="13"/>
                <w:color w:val="auto"/>
              </w:rPr>
              <w:t>2,644</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3"/>
                <w:szCs w:val="13"/>
                <w:color w:val="auto"/>
              </w:rPr>
              <w:t>2,549.04</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10/6/2033</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10/11/2024</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1,149</w:t>
            </w:r>
          </w:p>
        </w:tc>
        <w:tc>
          <w:tcPr>
            <w:tcW w:w="1060" w:type="dxa"/>
            <w:vAlign w:val="bottom"/>
          </w:tcPr>
          <w:p>
            <w:pPr>
              <w:jc w:val="right"/>
              <w:spacing w:after="0"/>
              <w:rPr>
                <w:sz w:val="20"/>
                <w:szCs w:val="20"/>
                <w:color w:val="auto"/>
              </w:rPr>
            </w:pPr>
            <w:r>
              <w:rPr>
                <w:rFonts w:ascii="Arial" w:cs="Arial" w:eastAsia="Arial" w:hAnsi="Arial"/>
                <w:sz w:val="13"/>
                <w:szCs w:val="13"/>
                <w:color w:val="202124"/>
              </w:rPr>
              <w:t>3,448</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3,129.78</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10/11/2034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3"/>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10/10/2025</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20212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4,049</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4,075.31</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10/10/2035</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5"/>
        </w:trPr>
        <w:tc>
          <w:tcPr>
            <w:tcW w:w="2120" w:type="dxa"/>
            <w:vAlign w:val="bottom"/>
            <w:tcBorders>
              <w:bottom w:val="single" w:sz="8" w:color="808080"/>
            </w:tcBorders>
          </w:tcPr>
          <w:p>
            <w:pPr>
              <w:ind w:left="880"/>
              <w:spacing w:after="0"/>
              <w:rPr>
                <w:sz w:val="20"/>
                <w:szCs w:val="20"/>
                <w:color w:val="auto"/>
              </w:rPr>
            </w:pPr>
            <w:r>
              <w:rPr>
                <w:rFonts w:ascii="Arial" w:cs="Arial" w:eastAsia="Arial" w:hAnsi="Arial"/>
                <w:sz w:val="13"/>
                <w:szCs w:val="13"/>
                <w:b w:val="1"/>
                <w:bCs w:val="1"/>
                <w:color w:val="202124"/>
              </w:rPr>
              <w:t>Totals</w:t>
            </w:r>
          </w:p>
        </w:tc>
        <w:tc>
          <w:tcPr>
            <w:tcW w:w="2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gridSpan w:val="2"/>
          </w:tcPr>
          <w:p>
            <w:pPr>
              <w:jc w:val="right"/>
              <w:ind w:right="77"/>
              <w:spacing w:after="0"/>
              <w:rPr>
                <w:sz w:val="20"/>
                <w:szCs w:val="20"/>
                <w:color w:val="auto"/>
              </w:rPr>
            </w:pPr>
            <w:r>
              <w:rPr>
                <w:rFonts w:ascii="Arial" w:cs="Arial" w:eastAsia="Arial" w:hAnsi="Arial"/>
                <w:sz w:val="13"/>
                <w:szCs w:val="13"/>
                <w:b w:val="1"/>
                <w:bCs w:val="1"/>
                <w:color w:val="202124"/>
              </w:rPr>
              <w:t>20,212</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11,451</w:t>
            </w:r>
          </w:p>
        </w:tc>
        <w:tc>
          <w:tcPr>
            <w:tcW w:w="3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gridSpan w:val="2"/>
          </w:tcPr>
          <w:p>
            <w:pPr>
              <w:jc w:val="right"/>
              <w:ind w:right="100"/>
              <w:spacing w:after="0"/>
              <w:rPr>
                <w:sz w:val="20"/>
                <w:szCs w:val="20"/>
                <w:color w:val="auto"/>
              </w:rPr>
            </w:pPr>
            <w:r>
              <w:rPr>
                <w:rFonts w:ascii="Arial" w:cs="Arial" w:eastAsia="Arial" w:hAnsi="Arial"/>
                <w:sz w:val="13"/>
                <w:szCs w:val="13"/>
                <w:b w:val="1"/>
                <w:bCs w:val="1"/>
                <w:color w:val="202124"/>
              </w:rPr>
              <w:t>—</w:t>
            </w:r>
          </w:p>
        </w:tc>
        <w:tc>
          <w:tcPr>
            <w:tcW w:w="2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w:t>
            </w:r>
          </w:p>
        </w:tc>
      </w:tr>
      <w:tr>
        <w:trPr>
          <w:trHeight w:val="175"/>
        </w:trPr>
        <w:tc>
          <w:tcPr>
            <w:tcW w:w="2120" w:type="dxa"/>
            <w:vAlign w:val="bottom"/>
          </w:tcPr>
          <w:p>
            <w:pPr>
              <w:spacing w:after="0"/>
              <w:rPr>
                <w:sz w:val="20"/>
                <w:szCs w:val="20"/>
                <w:color w:val="auto"/>
              </w:rPr>
            </w:pPr>
            <w:r>
              <w:rPr>
                <w:rFonts w:ascii="Arial" w:cs="Arial" w:eastAsia="Arial" w:hAnsi="Arial"/>
                <w:sz w:val="13"/>
                <w:szCs w:val="13"/>
                <w:b w:val="1"/>
                <w:bCs w:val="1"/>
                <w:color w:val="F37F00"/>
              </w:rPr>
              <w:t>Thomas B. Newbern</w:t>
            </w: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10/7/2019</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8,500</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1,060.81</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10/8/2029</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10/7/2020</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6,900</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1,139.99</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10/8/2030</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10/5/2021</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6,710</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1,651.22</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10/5/2031</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10/4/2022</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3,930</w:t>
            </w:r>
          </w:p>
        </w:tc>
        <w:tc>
          <w:tcPr>
            <w:tcW w:w="1060" w:type="dxa"/>
            <w:vAlign w:val="bottom"/>
          </w:tcPr>
          <w:p>
            <w:pPr>
              <w:jc w:val="right"/>
              <w:spacing w:after="0"/>
              <w:rPr>
                <w:sz w:val="20"/>
                <w:szCs w:val="20"/>
                <w:color w:val="auto"/>
              </w:rPr>
            </w:pPr>
            <w:r>
              <w:rPr>
                <w:rFonts w:ascii="Arial" w:cs="Arial" w:eastAsia="Arial" w:hAnsi="Arial"/>
                <w:sz w:val="13"/>
                <w:szCs w:val="13"/>
                <w:color w:val="202124"/>
              </w:rPr>
              <w:t>1,310</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2,205.03</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10/4/2032</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10/6/2023</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2,643</w:t>
            </w:r>
          </w:p>
        </w:tc>
        <w:tc>
          <w:tcPr>
            <w:tcW w:w="1060" w:type="dxa"/>
            <w:vAlign w:val="bottom"/>
          </w:tcPr>
          <w:p>
            <w:pPr>
              <w:jc w:val="right"/>
              <w:spacing w:after="0"/>
              <w:rPr>
                <w:sz w:val="20"/>
                <w:szCs w:val="20"/>
                <w:color w:val="auto"/>
              </w:rPr>
            </w:pPr>
            <w:r>
              <w:rPr>
                <w:rFonts w:ascii="Arial" w:cs="Arial" w:eastAsia="Arial" w:hAnsi="Arial"/>
                <w:sz w:val="13"/>
                <w:szCs w:val="13"/>
                <w:color w:val="202124"/>
              </w:rPr>
              <w:t>2,644</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2,549.04</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10/6/2033</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10/11/2024</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202124"/>
              </w:rPr>
              <w:t>—</w:t>
            </w:r>
          </w:p>
        </w:tc>
        <w:tc>
          <w:tcPr>
            <w:tcW w:w="1060" w:type="dxa"/>
            <w:vAlign w:val="bottom"/>
          </w:tcPr>
          <w:p>
            <w:pPr>
              <w:jc w:val="right"/>
              <w:spacing w:after="0"/>
              <w:rPr>
                <w:sz w:val="20"/>
                <w:szCs w:val="20"/>
                <w:color w:val="auto"/>
              </w:rPr>
            </w:pPr>
            <w:r>
              <w:rPr>
                <w:rFonts w:ascii="Arial" w:cs="Arial" w:eastAsia="Arial" w:hAnsi="Arial"/>
                <w:sz w:val="13"/>
                <w:szCs w:val="13"/>
                <w:color w:val="202124"/>
              </w:rPr>
              <w:t>4,597</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(3)</w:t>
            </w:r>
          </w:p>
        </w:tc>
        <w:tc>
          <w:tcPr>
            <w:tcW w:w="880" w:type="dxa"/>
            <w:vAlign w:val="bottom"/>
          </w:tcPr>
          <w:p>
            <w:pPr>
              <w:jc w:val="right"/>
              <w:spacing w:after="0"/>
              <w:rPr>
                <w:sz w:val="20"/>
                <w:szCs w:val="20"/>
                <w:color w:val="auto"/>
              </w:rPr>
            </w:pPr>
            <w:r>
              <w:rPr>
                <w:rFonts w:ascii="Arial" w:cs="Arial" w:eastAsia="Arial" w:hAnsi="Arial"/>
                <w:sz w:val="13"/>
                <w:szCs w:val="13"/>
                <w:color w:val="202124"/>
              </w:rPr>
              <w:t>3,129.78</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10/11/2034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3"/>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10/10/2025</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20212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4,049</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(3)</w:t>
            </w:r>
          </w:p>
        </w:tc>
        <w:tc>
          <w:tcPr>
            <w:tcW w:w="880" w:type="dxa"/>
            <w:vAlign w:val="bottom"/>
          </w:tcPr>
          <w:p>
            <w:pPr>
              <w:jc w:val="right"/>
              <w:spacing w:after="0"/>
              <w:rPr>
                <w:sz w:val="20"/>
                <w:szCs w:val="20"/>
                <w:color w:val="auto"/>
              </w:rPr>
            </w:pPr>
            <w:r>
              <w:rPr>
                <w:rFonts w:ascii="Arial" w:cs="Arial" w:eastAsia="Arial" w:hAnsi="Arial"/>
                <w:sz w:val="13"/>
                <w:szCs w:val="13"/>
                <w:color w:val="202124"/>
              </w:rPr>
              <w:t>4,075.31</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10/10/2035</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6"/>
        </w:trPr>
        <w:tc>
          <w:tcPr>
            <w:tcW w:w="2120" w:type="dxa"/>
            <w:vAlign w:val="bottom"/>
            <w:tcBorders>
              <w:bottom w:val="single" w:sz="8" w:color="808080"/>
            </w:tcBorders>
          </w:tcPr>
          <w:p>
            <w:pPr>
              <w:ind w:left="880"/>
              <w:spacing w:after="0"/>
              <w:rPr>
                <w:sz w:val="20"/>
                <w:szCs w:val="20"/>
                <w:color w:val="auto"/>
              </w:rPr>
            </w:pPr>
            <w:r>
              <w:rPr>
                <w:rFonts w:ascii="Arial" w:cs="Arial" w:eastAsia="Arial" w:hAnsi="Arial"/>
                <w:sz w:val="13"/>
                <w:szCs w:val="13"/>
                <w:b w:val="1"/>
                <w:bCs w:val="1"/>
                <w:color w:val="202124"/>
              </w:rPr>
              <w:t>Totals</w:t>
            </w:r>
          </w:p>
        </w:tc>
        <w:tc>
          <w:tcPr>
            <w:tcW w:w="2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gridSpan w:val="2"/>
          </w:tcPr>
          <w:p>
            <w:pPr>
              <w:jc w:val="right"/>
              <w:ind w:right="77"/>
              <w:spacing w:after="0"/>
              <w:rPr>
                <w:sz w:val="20"/>
                <w:szCs w:val="20"/>
                <w:color w:val="auto"/>
              </w:rPr>
            </w:pPr>
            <w:r>
              <w:rPr>
                <w:rFonts w:ascii="Arial" w:cs="Arial" w:eastAsia="Arial" w:hAnsi="Arial"/>
                <w:sz w:val="13"/>
                <w:szCs w:val="13"/>
                <w:b w:val="1"/>
                <w:bCs w:val="1"/>
                <w:color w:val="202124"/>
              </w:rPr>
              <w:t>28,683</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12,600</w:t>
            </w:r>
          </w:p>
        </w:tc>
        <w:tc>
          <w:tcPr>
            <w:tcW w:w="3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gridSpan w:val="2"/>
          </w:tcPr>
          <w:p>
            <w:pPr>
              <w:jc w:val="right"/>
              <w:ind w:right="100"/>
              <w:spacing w:after="0"/>
              <w:rPr>
                <w:sz w:val="20"/>
                <w:szCs w:val="20"/>
                <w:color w:val="auto"/>
              </w:rPr>
            </w:pPr>
            <w:r>
              <w:rPr>
                <w:rFonts w:ascii="Arial" w:cs="Arial" w:eastAsia="Arial" w:hAnsi="Arial"/>
                <w:sz w:val="13"/>
                <w:szCs w:val="13"/>
                <w:b w:val="1"/>
                <w:bCs w:val="1"/>
                <w:color w:val="202124"/>
              </w:rPr>
              <w:t>—</w:t>
            </w:r>
          </w:p>
        </w:tc>
        <w:tc>
          <w:tcPr>
            <w:tcW w:w="2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w:t>
            </w:r>
          </w:p>
        </w:tc>
      </w:tr>
      <w:tr>
        <w:trPr>
          <w:trHeight w:val="174"/>
        </w:trPr>
        <w:tc>
          <w:tcPr>
            <w:tcW w:w="2120" w:type="dxa"/>
            <w:vAlign w:val="bottom"/>
          </w:tcPr>
          <w:p>
            <w:pPr>
              <w:spacing w:after="0"/>
              <w:rPr>
                <w:sz w:val="20"/>
                <w:szCs w:val="20"/>
                <w:color w:val="auto"/>
              </w:rPr>
            </w:pPr>
            <w:r>
              <w:rPr>
                <w:rFonts w:ascii="Arial" w:cs="Arial" w:eastAsia="Arial" w:hAnsi="Arial"/>
                <w:sz w:val="13"/>
                <w:szCs w:val="13"/>
                <w:b w:val="1"/>
                <w:bCs w:val="1"/>
                <w:color w:val="F37F00"/>
              </w:rPr>
              <w:t>Eric S. Gould</w:t>
            </w: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9/26/2017</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1,615</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587.13</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9/27/2027</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9/25/2018</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1,275</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772.80</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9/26/2028</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10/7/2019</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1,713</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1,060.81</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10/8/2029</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10/7/2020</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1,500</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1,139.99</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10/8/2030</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2/8/2021</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1,650</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1,224.95</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2/8/2031</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10/5/2021</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3,880</w:t>
            </w:r>
          </w:p>
        </w:tc>
        <w:tc>
          <w:tcPr>
            <w:tcW w:w="1060" w:type="dxa"/>
            <w:vAlign w:val="bottom"/>
          </w:tcPr>
          <w:p>
            <w:pPr>
              <w:jc w:val="right"/>
              <w:spacing w:after="0"/>
              <w:rPr>
                <w:sz w:val="20"/>
                <w:szCs w:val="20"/>
                <w:color w:val="auto"/>
              </w:rPr>
            </w:pPr>
            <w:r>
              <w:rPr>
                <w:rFonts w:ascii="Arial" w:cs="Arial" w:eastAsia="Arial" w:hAnsi="Arial"/>
                <w:sz w:val="13"/>
                <w:szCs w:val="13"/>
                <w:color w:val="202124"/>
              </w:rPr>
              <w:t>—</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1,651.22</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10/5/2031</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10/4/2022</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2,730</w:t>
            </w:r>
          </w:p>
        </w:tc>
        <w:tc>
          <w:tcPr>
            <w:tcW w:w="1060" w:type="dxa"/>
            <w:vAlign w:val="bottom"/>
          </w:tcPr>
          <w:p>
            <w:pPr>
              <w:jc w:val="right"/>
              <w:spacing w:after="0"/>
              <w:rPr>
                <w:sz w:val="20"/>
                <w:szCs w:val="20"/>
                <w:color w:val="auto"/>
              </w:rPr>
            </w:pPr>
            <w:r>
              <w:rPr>
                <w:rFonts w:ascii="Arial" w:cs="Arial" w:eastAsia="Arial" w:hAnsi="Arial"/>
                <w:sz w:val="13"/>
                <w:szCs w:val="13"/>
                <w:color w:val="202124"/>
              </w:rPr>
              <w:t>910</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2,205.03</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10/4/2032</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10/6/2023</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2,050</w:t>
            </w:r>
          </w:p>
        </w:tc>
        <w:tc>
          <w:tcPr>
            <w:tcW w:w="1060" w:type="dxa"/>
            <w:vAlign w:val="bottom"/>
          </w:tcPr>
          <w:p>
            <w:pPr>
              <w:jc w:val="right"/>
              <w:spacing w:after="0"/>
              <w:rPr>
                <w:sz w:val="20"/>
                <w:szCs w:val="20"/>
                <w:color w:val="auto"/>
              </w:rPr>
            </w:pPr>
            <w:r>
              <w:rPr>
                <w:rFonts w:ascii="Arial" w:cs="Arial" w:eastAsia="Arial" w:hAnsi="Arial"/>
                <w:sz w:val="13"/>
                <w:szCs w:val="13"/>
                <w:color w:val="202124"/>
              </w:rPr>
              <w:t>2,050</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2,549.04</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10/6/2033</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10/11/2024</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202124"/>
              </w:rPr>
              <w:t>—</w:t>
            </w:r>
          </w:p>
        </w:tc>
        <w:tc>
          <w:tcPr>
            <w:tcW w:w="1060" w:type="dxa"/>
            <w:vAlign w:val="bottom"/>
          </w:tcPr>
          <w:p>
            <w:pPr>
              <w:jc w:val="right"/>
              <w:spacing w:after="0"/>
              <w:rPr>
                <w:sz w:val="20"/>
                <w:szCs w:val="20"/>
                <w:color w:val="auto"/>
              </w:rPr>
            </w:pPr>
            <w:r>
              <w:rPr>
                <w:rFonts w:ascii="Arial" w:cs="Arial" w:eastAsia="Arial" w:hAnsi="Arial"/>
                <w:sz w:val="13"/>
                <w:szCs w:val="13"/>
                <w:color w:val="202124"/>
              </w:rPr>
              <w:t>2,917</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(3)</w:t>
            </w:r>
          </w:p>
        </w:tc>
        <w:tc>
          <w:tcPr>
            <w:tcW w:w="880" w:type="dxa"/>
            <w:vAlign w:val="bottom"/>
          </w:tcPr>
          <w:p>
            <w:pPr>
              <w:jc w:val="right"/>
              <w:spacing w:after="0"/>
              <w:rPr>
                <w:sz w:val="20"/>
                <w:szCs w:val="20"/>
                <w:color w:val="auto"/>
              </w:rPr>
            </w:pPr>
            <w:r>
              <w:rPr>
                <w:rFonts w:ascii="Arial" w:cs="Arial" w:eastAsia="Arial" w:hAnsi="Arial"/>
                <w:sz w:val="13"/>
                <w:szCs w:val="13"/>
                <w:color w:val="202124"/>
              </w:rPr>
              <w:t>3,129.78</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10/11/2034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3"/>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10/10/2025</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20212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3,380</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(3)</w:t>
            </w:r>
          </w:p>
        </w:tc>
        <w:tc>
          <w:tcPr>
            <w:tcW w:w="880" w:type="dxa"/>
            <w:vAlign w:val="bottom"/>
          </w:tcPr>
          <w:p>
            <w:pPr>
              <w:jc w:val="right"/>
              <w:spacing w:after="0"/>
              <w:rPr>
                <w:sz w:val="20"/>
                <w:szCs w:val="20"/>
                <w:color w:val="auto"/>
              </w:rPr>
            </w:pPr>
            <w:r>
              <w:rPr>
                <w:rFonts w:ascii="Arial" w:cs="Arial" w:eastAsia="Arial" w:hAnsi="Arial"/>
                <w:sz w:val="13"/>
                <w:szCs w:val="13"/>
                <w:color w:val="202124"/>
              </w:rPr>
              <w:t>4,075.31</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10/10/2035</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5"/>
        </w:trPr>
        <w:tc>
          <w:tcPr>
            <w:tcW w:w="2120" w:type="dxa"/>
            <w:vAlign w:val="bottom"/>
            <w:tcBorders>
              <w:bottom w:val="single" w:sz="8" w:color="808080"/>
            </w:tcBorders>
          </w:tcPr>
          <w:p>
            <w:pPr>
              <w:ind w:left="880"/>
              <w:spacing w:after="0"/>
              <w:rPr>
                <w:sz w:val="20"/>
                <w:szCs w:val="20"/>
                <w:color w:val="auto"/>
              </w:rPr>
            </w:pPr>
            <w:r>
              <w:rPr>
                <w:rFonts w:ascii="Arial" w:cs="Arial" w:eastAsia="Arial" w:hAnsi="Arial"/>
                <w:sz w:val="13"/>
                <w:szCs w:val="13"/>
                <w:b w:val="1"/>
                <w:bCs w:val="1"/>
                <w:color w:val="202124"/>
              </w:rPr>
              <w:t>Totals</w:t>
            </w:r>
          </w:p>
        </w:tc>
        <w:tc>
          <w:tcPr>
            <w:tcW w:w="2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gridSpan w:val="2"/>
          </w:tcPr>
          <w:p>
            <w:pPr>
              <w:jc w:val="right"/>
              <w:ind w:right="77"/>
              <w:spacing w:after="0"/>
              <w:rPr>
                <w:sz w:val="20"/>
                <w:szCs w:val="20"/>
                <w:color w:val="auto"/>
              </w:rPr>
            </w:pPr>
            <w:r>
              <w:rPr>
                <w:rFonts w:ascii="Arial" w:cs="Arial" w:eastAsia="Arial" w:hAnsi="Arial"/>
                <w:sz w:val="13"/>
                <w:szCs w:val="13"/>
                <w:b w:val="1"/>
                <w:bCs w:val="1"/>
                <w:color w:val="202124"/>
              </w:rPr>
              <w:t>16,413</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9,257</w:t>
            </w:r>
          </w:p>
        </w:tc>
        <w:tc>
          <w:tcPr>
            <w:tcW w:w="3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gridSpan w:val="2"/>
          </w:tcPr>
          <w:p>
            <w:pPr>
              <w:jc w:val="right"/>
              <w:ind w:right="100"/>
              <w:spacing w:after="0"/>
              <w:rPr>
                <w:sz w:val="20"/>
                <w:szCs w:val="20"/>
                <w:color w:val="auto"/>
              </w:rPr>
            </w:pPr>
            <w:r>
              <w:rPr>
                <w:rFonts w:ascii="Arial" w:cs="Arial" w:eastAsia="Arial" w:hAnsi="Arial"/>
                <w:sz w:val="13"/>
                <w:szCs w:val="13"/>
                <w:b w:val="1"/>
                <w:bCs w:val="1"/>
                <w:color w:val="202124"/>
              </w:rPr>
              <w:t>—</w:t>
            </w:r>
          </w:p>
        </w:tc>
        <w:tc>
          <w:tcPr>
            <w:tcW w:w="2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202124"/>
              </w:rPr>
              <w:t>—</w:t>
            </w:r>
          </w:p>
        </w:tc>
      </w:tr>
      <w:tr>
        <w:trPr>
          <w:trHeight w:val="175"/>
        </w:trPr>
        <w:tc>
          <w:tcPr>
            <w:tcW w:w="2120" w:type="dxa"/>
            <w:vAlign w:val="bottom"/>
          </w:tcPr>
          <w:p>
            <w:pPr>
              <w:spacing w:after="0"/>
              <w:rPr>
                <w:sz w:val="20"/>
                <w:szCs w:val="20"/>
                <w:color w:val="auto"/>
              </w:rPr>
            </w:pPr>
            <w:r>
              <w:rPr>
                <w:rFonts w:ascii="Arial" w:cs="Arial" w:eastAsia="Arial" w:hAnsi="Arial"/>
                <w:sz w:val="13"/>
                <w:szCs w:val="13"/>
                <w:b w:val="1"/>
                <w:bCs w:val="1"/>
                <w:color w:val="F37F00"/>
              </w:rPr>
              <w:t>Kenneth E. Jaycox, Jr.</w:t>
            </w: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7/29/2024</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2,356</w:t>
            </w:r>
          </w:p>
        </w:tc>
        <w:tc>
          <w:tcPr>
            <w:tcW w:w="1060" w:type="dxa"/>
            <w:vAlign w:val="bottom"/>
          </w:tcPr>
          <w:p>
            <w:pPr>
              <w:jc w:val="right"/>
              <w:spacing w:after="0"/>
              <w:rPr>
                <w:sz w:val="20"/>
                <w:szCs w:val="20"/>
                <w:color w:val="auto"/>
              </w:rPr>
            </w:pPr>
            <w:r>
              <w:rPr>
                <w:rFonts w:ascii="Arial" w:cs="Arial" w:eastAsia="Arial" w:hAnsi="Arial"/>
                <w:sz w:val="13"/>
                <w:szCs w:val="13"/>
                <w:color w:val="202124"/>
              </w:rPr>
              <w:t>2,357</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3,072.66</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7/29/2034</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10/11/2024</w:t>
            </w: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202124"/>
              </w:rPr>
              <w:t>729</w:t>
            </w:r>
          </w:p>
        </w:tc>
        <w:tc>
          <w:tcPr>
            <w:tcW w:w="1060" w:type="dxa"/>
            <w:vAlign w:val="bottom"/>
          </w:tcPr>
          <w:p>
            <w:pPr>
              <w:jc w:val="right"/>
              <w:spacing w:after="0"/>
              <w:rPr>
                <w:sz w:val="20"/>
                <w:szCs w:val="20"/>
                <w:color w:val="auto"/>
              </w:rPr>
            </w:pPr>
            <w:r>
              <w:rPr>
                <w:rFonts w:ascii="Arial" w:cs="Arial" w:eastAsia="Arial" w:hAnsi="Arial"/>
                <w:sz w:val="13"/>
                <w:szCs w:val="13"/>
                <w:color w:val="202124"/>
              </w:rPr>
              <w:t>2,188</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3,129.78</w:t>
            </w: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10/11/2034</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10/10/2025</w:t>
            </w:r>
          </w:p>
        </w:tc>
        <w:tc>
          <w:tcPr>
            <w:tcW w:w="2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202124"/>
              </w:rPr>
              <w:t>—</w:t>
            </w:r>
          </w:p>
        </w:tc>
        <w:tc>
          <w:tcPr>
            <w:tcW w:w="1060" w:type="dxa"/>
            <w:vAlign w:val="bottom"/>
          </w:tcPr>
          <w:p>
            <w:pPr>
              <w:jc w:val="right"/>
              <w:spacing w:after="0"/>
              <w:rPr>
                <w:sz w:val="20"/>
                <w:szCs w:val="20"/>
                <w:color w:val="auto"/>
              </w:rPr>
            </w:pPr>
            <w:r>
              <w:rPr>
                <w:rFonts w:ascii="Arial" w:cs="Arial" w:eastAsia="Arial" w:hAnsi="Arial"/>
                <w:sz w:val="13"/>
                <w:szCs w:val="13"/>
                <w:color w:val="202124"/>
              </w:rPr>
              <w:t>2,660</w:t>
            </w:r>
          </w:p>
        </w:tc>
        <w:tc>
          <w:tcPr>
            <w:tcW w:w="300" w:type="dxa"/>
            <w:vAlign w:val="bottom"/>
          </w:tcPr>
          <w:p>
            <w:pPr>
              <w:jc w:val="right"/>
              <w:ind w:right="57"/>
              <w:spacing w:after="0"/>
              <w:rPr>
                <w:sz w:val="20"/>
                <w:szCs w:val="20"/>
                <w:color w:val="auto"/>
              </w:rPr>
            </w:pPr>
            <w:r>
              <w:rPr>
                <w:rFonts w:ascii="Arial" w:cs="Arial" w:eastAsia="Arial" w:hAnsi="Arial"/>
                <w:sz w:val="13"/>
                <w:szCs w:val="13"/>
                <w:color w:val="202124"/>
              </w:rPr>
              <w:t>(1)</w:t>
            </w:r>
          </w:p>
        </w:tc>
        <w:tc>
          <w:tcPr>
            <w:tcW w:w="880" w:type="dxa"/>
            <w:vAlign w:val="bottom"/>
          </w:tcPr>
          <w:p>
            <w:pPr>
              <w:jc w:val="right"/>
              <w:spacing w:after="0"/>
              <w:rPr>
                <w:sz w:val="20"/>
                <w:szCs w:val="20"/>
                <w:color w:val="auto"/>
              </w:rPr>
            </w:pPr>
            <w:r>
              <w:rPr>
                <w:rFonts w:ascii="Arial" w:cs="Arial" w:eastAsia="Arial" w:hAnsi="Arial"/>
                <w:sz w:val="13"/>
                <w:szCs w:val="13"/>
                <w:color w:val="202124"/>
              </w:rPr>
              <w:t>4,075.31</w:t>
            </w: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202124"/>
              </w:rPr>
              <w:t>10/10/2035</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9/30/2025</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202124"/>
              </w:rPr>
              <w:t>1</w:t>
            </w:r>
          </w:p>
        </w:tc>
        <w:tc>
          <w:tcPr>
            <w:tcW w:w="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202124"/>
              </w:rPr>
              <w:t>2,962</w:t>
            </w:r>
          </w:p>
        </w:tc>
      </w:tr>
      <w:tr>
        <w:trPr>
          <w:trHeight w:val="175"/>
        </w:trPr>
        <w:tc>
          <w:tcPr>
            <w:tcW w:w="2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12/31/2025</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202124"/>
              </w:rPr>
              <w:t>1</w:t>
            </w:r>
          </w:p>
        </w:tc>
        <w:tc>
          <w:tcPr>
            <w:tcW w:w="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202124"/>
              </w:rPr>
              <w:t>2,962</w:t>
            </w:r>
          </w:p>
        </w:tc>
      </w:tr>
      <w:tr>
        <w:trPr>
          <w:trHeight w:val="163"/>
        </w:trPr>
        <w:tc>
          <w:tcPr>
            <w:tcW w:w="2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202124"/>
              </w:rPr>
              <w:t>8/28/2026</w:t>
            </w: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1,688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02124"/>
              </w:rPr>
              <w:t>4,999,788</w:t>
            </w:r>
          </w:p>
        </w:tc>
      </w:tr>
      <w:tr>
        <w:trPr>
          <w:trHeight w:val="176"/>
        </w:trPr>
        <w:tc>
          <w:tcPr>
            <w:tcW w:w="2120" w:type="dxa"/>
            <w:vAlign w:val="bottom"/>
            <w:tcBorders>
              <w:bottom w:val="single" w:sz="8" w:color="202124"/>
            </w:tcBorders>
          </w:tcPr>
          <w:p>
            <w:pPr>
              <w:ind w:left="880"/>
              <w:spacing w:after="0"/>
              <w:rPr>
                <w:sz w:val="20"/>
                <w:szCs w:val="20"/>
                <w:color w:val="auto"/>
              </w:rPr>
            </w:pPr>
            <w:r>
              <w:rPr>
                <w:rFonts w:ascii="Arial" w:cs="Arial" w:eastAsia="Arial" w:hAnsi="Arial"/>
                <w:sz w:val="13"/>
                <w:szCs w:val="13"/>
                <w:b w:val="1"/>
                <w:bCs w:val="1"/>
                <w:color w:val="202124"/>
              </w:rPr>
              <w:t>Totals</w:t>
            </w:r>
          </w:p>
        </w:tc>
        <w:tc>
          <w:tcPr>
            <w:tcW w:w="200" w:type="dxa"/>
            <w:vAlign w:val="bottom"/>
            <w:tcBorders>
              <w:bottom w:val="single" w:sz="8" w:color="202124"/>
            </w:tcBorders>
          </w:tcPr>
          <w:p>
            <w:pPr>
              <w:spacing w:after="0"/>
              <w:rPr>
                <w:sz w:val="15"/>
                <w:szCs w:val="15"/>
                <w:color w:val="auto"/>
              </w:rPr>
            </w:pPr>
          </w:p>
        </w:tc>
        <w:tc>
          <w:tcPr>
            <w:tcW w:w="780" w:type="dxa"/>
            <w:vAlign w:val="bottom"/>
            <w:tcBorders>
              <w:bottom w:val="single" w:sz="8" w:color="202124"/>
            </w:tcBorders>
          </w:tcPr>
          <w:p>
            <w:pPr>
              <w:spacing w:after="0"/>
              <w:rPr>
                <w:sz w:val="15"/>
                <w:szCs w:val="15"/>
                <w:color w:val="auto"/>
              </w:rPr>
            </w:pPr>
          </w:p>
        </w:tc>
        <w:tc>
          <w:tcPr>
            <w:tcW w:w="1120" w:type="dxa"/>
            <w:vAlign w:val="bottom"/>
            <w:tcBorders>
              <w:bottom w:val="single" w:sz="8" w:color="202124"/>
            </w:tcBorders>
            <w:gridSpan w:val="2"/>
          </w:tcPr>
          <w:p>
            <w:pPr>
              <w:jc w:val="right"/>
              <w:ind w:right="77"/>
              <w:spacing w:after="0"/>
              <w:rPr>
                <w:sz w:val="20"/>
                <w:szCs w:val="20"/>
                <w:color w:val="auto"/>
              </w:rPr>
            </w:pPr>
            <w:r>
              <w:rPr>
                <w:rFonts w:ascii="Arial" w:cs="Arial" w:eastAsia="Arial" w:hAnsi="Arial"/>
                <w:sz w:val="13"/>
                <w:szCs w:val="13"/>
                <w:b w:val="1"/>
                <w:bCs w:val="1"/>
                <w:color w:val="202124"/>
              </w:rPr>
              <w:t>3,085</w:t>
            </w:r>
          </w:p>
        </w:tc>
        <w:tc>
          <w:tcPr>
            <w:tcW w:w="1060" w:type="dxa"/>
            <w:vAlign w:val="bottom"/>
            <w:tcBorders>
              <w:bottom w:val="single" w:sz="8" w:color="202124"/>
            </w:tcBorders>
          </w:tcPr>
          <w:p>
            <w:pPr>
              <w:jc w:val="right"/>
              <w:spacing w:after="0"/>
              <w:rPr>
                <w:sz w:val="20"/>
                <w:szCs w:val="20"/>
                <w:color w:val="auto"/>
              </w:rPr>
            </w:pPr>
            <w:r>
              <w:rPr>
                <w:rFonts w:ascii="Arial" w:cs="Arial" w:eastAsia="Arial" w:hAnsi="Arial"/>
                <w:sz w:val="13"/>
                <w:szCs w:val="13"/>
                <w:b w:val="1"/>
                <w:bCs w:val="1"/>
                <w:color w:val="202124"/>
              </w:rPr>
              <w:t>7,205</w:t>
            </w:r>
          </w:p>
        </w:tc>
        <w:tc>
          <w:tcPr>
            <w:tcW w:w="300" w:type="dxa"/>
            <w:vAlign w:val="bottom"/>
            <w:tcBorders>
              <w:bottom w:val="single" w:sz="8" w:color="202124"/>
            </w:tcBorders>
          </w:tcPr>
          <w:p>
            <w:pPr>
              <w:spacing w:after="0"/>
              <w:rPr>
                <w:sz w:val="15"/>
                <w:szCs w:val="15"/>
                <w:color w:val="auto"/>
              </w:rPr>
            </w:pPr>
          </w:p>
        </w:tc>
        <w:tc>
          <w:tcPr>
            <w:tcW w:w="880" w:type="dxa"/>
            <w:vAlign w:val="bottom"/>
            <w:tcBorders>
              <w:bottom w:val="single" w:sz="8" w:color="202124"/>
            </w:tcBorders>
          </w:tcPr>
          <w:p>
            <w:pPr>
              <w:spacing w:after="0"/>
              <w:rPr>
                <w:sz w:val="15"/>
                <w:szCs w:val="15"/>
                <w:color w:val="auto"/>
              </w:rPr>
            </w:pPr>
          </w:p>
        </w:tc>
        <w:tc>
          <w:tcPr>
            <w:tcW w:w="180" w:type="dxa"/>
            <w:vAlign w:val="bottom"/>
            <w:tcBorders>
              <w:bottom w:val="single" w:sz="8" w:color="202124"/>
            </w:tcBorders>
          </w:tcPr>
          <w:p>
            <w:pPr>
              <w:spacing w:after="0"/>
              <w:rPr>
                <w:sz w:val="15"/>
                <w:szCs w:val="15"/>
                <w:color w:val="auto"/>
              </w:rPr>
            </w:pPr>
          </w:p>
        </w:tc>
        <w:tc>
          <w:tcPr>
            <w:tcW w:w="1120" w:type="dxa"/>
            <w:vAlign w:val="bottom"/>
            <w:tcBorders>
              <w:bottom w:val="single" w:sz="8" w:color="202124"/>
            </w:tcBorders>
          </w:tcPr>
          <w:p>
            <w:pPr>
              <w:spacing w:after="0"/>
              <w:rPr>
                <w:sz w:val="15"/>
                <w:szCs w:val="15"/>
                <w:color w:val="auto"/>
              </w:rPr>
            </w:pPr>
          </w:p>
        </w:tc>
        <w:tc>
          <w:tcPr>
            <w:tcW w:w="780" w:type="dxa"/>
            <w:vAlign w:val="bottom"/>
            <w:tcBorders>
              <w:bottom w:val="single" w:sz="8" w:color="202124"/>
            </w:tcBorders>
          </w:tcPr>
          <w:p>
            <w:pPr>
              <w:jc w:val="right"/>
              <w:spacing w:after="0"/>
              <w:rPr>
                <w:sz w:val="20"/>
                <w:szCs w:val="20"/>
                <w:color w:val="auto"/>
              </w:rPr>
            </w:pPr>
            <w:r>
              <w:rPr>
                <w:rFonts w:ascii="Arial" w:cs="Arial" w:eastAsia="Arial" w:hAnsi="Arial"/>
                <w:sz w:val="13"/>
                <w:szCs w:val="13"/>
                <w:b w:val="1"/>
                <w:bCs w:val="1"/>
                <w:color w:val="202124"/>
              </w:rPr>
              <w:t>1,690</w:t>
            </w:r>
          </w:p>
        </w:tc>
        <w:tc>
          <w:tcPr>
            <w:tcW w:w="40" w:type="dxa"/>
            <w:vAlign w:val="bottom"/>
            <w:tcBorders>
              <w:bottom w:val="single" w:sz="8" w:color="202124"/>
            </w:tcBorders>
          </w:tcPr>
          <w:p>
            <w:pPr>
              <w:spacing w:after="0"/>
              <w:rPr>
                <w:sz w:val="15"/>
                <w:szCs w:val="15"/>
                <w:color w:val="auto"/>
              </w:rPr>
            </w:pPr>
          </w:p>
        </w:tc>
        <w:tc>
          <w:tcPr>
            <w:tcW w:w="1140" w:type="dxa"/>
            <w:vAlign w:val="bottom"/>
            <w:tcBorders>
              <w:bottom w:val="single" w:sz="8" w:color="202124"/>
            </w:tcBorders>
            <w:gridSpan w:val="2"/>
          </w:tcPr>
          <w:p>
            <w:pPr>
              <w:jc w:val="right"/>
              <w:spacing w:after="0"/>
              <w:rPr>
                <w:sz w:val="20"/>
                <w:szCs w:val="20"/>
                <w:color w:val="auto"/>
              </w:rPr>
            </w:pPr>
            <w:r>
              <w:rPr>
                <w:rFonts w:ascii="Arial" w:cs="Arial" w:eastAsia="Arial" w:hAnsi="Arial"/>
                <w:sz w:val="13"/>
                <w:szCs w:val="13"/>
                <w:b w:val="1"/>
                <w:bCs w:val="1"/>
                <w:color w:val="202124"/>
              </w:rPr>
              <w:t>5,005,712</w:t>
            </w:r>
          </w:p>
        </w:tc>
      </w:tr>
    </w:tbl>
    <w:p>
      <w:pPr>
        <w:spacing w:after="0" w:line="50" w:lineRule="exact"/>
        <w:rPr>
          <w:sz w:val="20"/>
          <w:szCs w:val="20"/>
          <w:color w:val="auto"/>
        </w:rPr>
      </w:pPr>
    </w:p>
    <w:p>
      <w:pPr>
        <w:ind w:left="960" w:hanging="316"/>
        <w:spacing w:after="0"/>
        <w:tabs>
          <w:tab w:leader="none" w:pos="960" w:val="left"/>
        </w:tabs>
        <w:numPr>
          <w:ilvl w:val="0"/>
          <w:numId w:val="94"/>
        </w:numPr>
        <w:rPr>
          <w:rFonts w:ascii="Arial" w:cs="Arial" w:eastAsia="Arial" w:hAnsi="Arial"/>
          <w:sz w:val="11"/>
          <w:szCs w:val="11"/>
          <w:color w:val="202124"/>
        </w:rPr>
      </w:pPr>
      <w:r>
        <w:rPr>
          <w:rFonts w:ascii="Arial" w:cs="Arial" w:eastAsia="Arial" w:hAnsi="Arial"/>
          <w:sz w:val="15"/>
          <w:szCs w:val="15"/>
          <w:color w:val="202124"/>
        </w:rPr>
        <w:t>Stock options vest annually in one-fourth increments over a four-year period.</w:t>
      </w:r>
    </w:p>
    <w:p>
      <w:pPr>
        <w:spacing w:after="0" w:line="27" w:lineRule="exact"/>
        <w:rPr>
          <w:rFonts w:ascii="Arial" w:cs="Arial" w:eastAsia="Arial" w:hAnsi="Arial"/>
          <w:sz w:val="11"/>
          <w:szCs w:val="11"/>
          <w:color w:val="202124"/>
        </w:rPr>
      </w:pPr>
    </w:p>
    <w:p>
      <w:pPr>
        <w:ind w:left="960" w:hanging="316"/>
        <w:spacing w:after="0"/>
        <w:tabs>
          <w:tab w:leader="none" w:pos="960" w:val="left"/>
        </w:tabs>
        <w:numPr>
          <w:ilvl w:val="0"/>
          <w:numId w:val="94"/>
        </w:numPr>
        <w:rPr>
          <w:rFonts w:ascii="Arial" w:cs="Arial" w:eastAsia="Arial" w:hAnsi="Arial"/>
          <w:sz w:val="11"/>
          <w:szCs w:val="11"/>
          <w:color w:val="202124"/>
        </w:rPr>
      </w:pPr>
      <w:r>
        <w:rPr>
          <w:rFonts w:ascii="Arial" w:cs="Arial" w:eastAsia="Arial" w:hAnsi="Arial"/>
          <w:sz w:val="15"/>
          <w:szCs w:val="15"/>
          <w:color w:val="202124"/>
        </w:rPr>
        <w:t>Stock options cliff vest 100% in year five.</w:t>
      </w:r>
    </w:p>
    <w:p>
      <w:pPr>
        <w:spacing w:after="0" w:line="16" w:lineRule="exact"/>
        <w:rPr>
          <w:rFonts w:ascii="Arial" w:cs="Arial" w:eastAsia="Arial" w:hAnsi="Arial"/>
          <w:sz w:val="11"/>
          <w:szCs w:val="11"/>
          <w:color w:val="202124"/>
        </w:rPr>
      </w:pPr>
    </w:p>
    <w:p>
      <w:pPr>
        <w:ind w:left="960" w:hanging="316"/>
        <w:spacing w:after="0"/>
        <w:tabs>
          <w:tab w:leader="none" w:pos="960" w:val="left"/>
        </w:tabs>
        <w:numPr>
          <w:ilvl w:val="0"/>
          <w:numId w:val="94"/>
        </w:numPr>
        <w:rPr>
          <w:rFonts w:ascii="Arial" w:cs="Arial" w:eastAsia="Arial" w:hAnsi="Arial"/>
          <w:sz w:val="11"/>
          <w:szCs w:val="11"/>
          <w:color w:val="202124"/>
        </w:rPr>
      </w:pPr>
      <w:r>
        <w:rPr>
          <w:rFonts w:ascii="Arial" w:cs="Arial" w:eastAsia="Arial" w:hAnsi="Arial"/>
          <w:sz w:val="15"/>
          <w:szCs w:val="15"/>
          <w:color w:val="202124"/>
        </w:rPr>
        <w:t>Stock options vest 50% in year two, 25% in year three and 25% in year four.</w:t>
      </w:r>
    </w:p>
    <w:p>
      <w:pPr>
        <w:spacing w:after="0" w:line="18" w:lineRule="exact"/>
        <w:rPr>
          <w:rFonts w:ascii="Arial" w:cs="Arial" w:eastAsia="Arial" w:hAnsi="Arial"/>
          <w:sz w:val="11"/>
          <w:szCs w:val="11"/>
          <w:color w:val="202124"/>
        </w:rPr>
      </w:pPr>
    </w:p>
    <w:p>
      <w:pPr>
        <w:ind w:left="960" w:right="80" w:hanging="316"/>
        <w:spacing w:after="0" w:line="249" w:lineRule="auto"/>
        <w:tabs>
          <w:tab w:leader="none" w:pos="960" w:val="left"/>
        </w:tabs>
        <w:numPr>
          <w:ilvl w:val="0"/>
          <w:numId w:val="94"/>
        </w:numPr>
        <w:rPr>
          <w:rFonts w:ascii="Arial" w:cs="Arial" w:eastAsia="Arial" w:hAnsi="Arial"/>
          <w:sz w:val="11"/>
          <w:szCs w:val="11"/>
          <w:color w:val="202124"/>
        </w:rPr>
      </w:pPr>
      <w:r>
        <w:rPr>
          <w:rFonts w:ascii="Arial" w:cs="Arial" w:eastAsia="Arial" w:hAnsi="Arial"/>
          <w:sz w:val="15"/>
          <w:szCs w:val="15"/>
          <w:color w:val="202124"/>
        </w:rPr>
        <w:t>Represents shares acquired pursuant to unvested shares granted under the Executive Stock Purchase Plan. Such shares vest on the first anniversary of the date the option was exercised under the plan and will vest immediately upon a participant’s termination of employment without cause or the participant’s death or disability.</w:t>
      </w:r>
    </w:p>
    <w:p>
      <w:pPr>
        <w:spacing w:after="0" w:line="1" w:lineRule="exact"/>
        <w:rPr>
          <w:rFonts w:ascii="Arial" w:cs="Arial" w:eastAsia="Arial" w:hAnsi="Arial"/>
          <w:sz w:val="11"/>
          <w:szCs w:val="11"/>
          <w:color w:val="202124"/>
        </w:rPr>
      </w:pPr>
    </w:p>
    <w:p>
      <w:pPr>
        <w:ind w:left="960" w:hanging="316"/>
        <w:spacing w:after="0"/>
        <w:tabs>
          <w:tab w:leader="none" w:pos="960" w:val="left"/>
        </w:tabs>
        <w:numPr>
          <w:ilvl w:val="0"/>
          <w:numId w:val="94"/>
        </w:numPr>
        <w:rPr>
          <w:rFonts w:ascii="Arial" w:cs="Arial" w:eastAsia="Arial" w:hAnsi="Arial"/>
          <w:sz w:val="11"/>
          <w:szCs w:val="11"/>
          <w:color w:val="202124"/>
        </w:rPr>
      </w:pPr>
      <w:r>
        <w:rPr>
          <w:rFonts w:ascii="Arial" w:cs="Arial" w:eastAsia="Arial" w:hAnsi="Arial"/>
          <w:sz w:val="15"/>
          <w:szCs w:val="15"/>
          <w:color w:val="202124"/>
        </w:rPr>
        <w:t>Shares for Mr. Jaycox includes 1,688 pursuant to a one-time RSU grant.</w:t>
      </w:r>
    </w:p>
    <w:p>
      <w:pPr>
        <w:spacing w:after="0" w:line="16" w:lineRule="exact"/>
        <w:rPr>
          <w:rFonts w:ascii="Arial" w:cs="Arial" w:eastAsia="Arial" w:hAnsi="Arial"/>
          <w:sz w:val="11"/>
          <w:szCs w:val="11"/>
          <w:color w:val="202124"/>
        </w:rPr>
      </w:pPr>
    </w:p>
    <w:p>
      <w:pPr>
        <w:ind w:left="960" w:hanging="316"/>
        <w:spacing w:after="0"/>
        <w:tabs>
          <w:tab w:leader="none" w:pos="960" w:val="left"/>
        </w:tabs>
        <w:numPr>
          <w:ilvl w:val="0"/>
          <w:numId w:val="94"/>
        </w:numPr>
        <w:rPr>
          <w:rFonts w:ascii="Arial" w:cs="Arial" w:eastAsia="Arial" w:hAnsi="Arial"/>
          <w:sz w:val="11"/>
          <w:szCs w:val="11"/>
          <w:color w:val="202124"/>
        </w:rPr>
      </w:pPr>
      <w:r>
        <w:rPr>
          <w:rFonts w:ascii="Arial" w:cs="Arial" w:eastAsia="Arial" w:hAnsi="Arial"/>
          <w:sz w:val="15"/>
          <w:szCs w:val="15"/>
          <w:color w:val="202124"/>
        </w:rPr>
        <w:t>Based on the closing price of AutoZone common stock on August 29, 2026 ($2,961.96 per share).</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64   </w:t>
      </w:r>
      <w:r>
        <w:rPr>
          <w:sz w:val="1"/>
          <w:szCs w:val="1"/>
          <w:color w:val="auto"/>
        </w:rPr>
        <w:drawing>
          <wp:inline distT="0" distB="0" distL="0" distR="0">
            <wp:extent cx="1165860"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67" w:name="page68"/>
    <w:bookmarkEnd w:id="6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Option Exercises and Stock Vested</w:t>
      </w:r>
    </w:p>
    <w:p>
      <w:pPr>
        <w:spacing w:after="0" w:line="111" w:lineRule="exact"/>
        <w:rPr>
          <w:sz w:val="20"/>
          <w:szCs w:val="20"/>
          <w:color w:val="auto"/>
        </w:rPr>
      </w:pPr>
    </w:p>
    <w:p>
      <w:pPr>
        <w:ind w:left="640" w:right="320"/>
        <w:spacing w:after="0" w:line="271" w:lineRule="auto"/>
        <w:rPr>
          <w:sz w:val="20"/>
          <w:szCs w:val="20"/>
          <w:color w:val="auto"/>
        </w:rPr>
      </w:pPr>
      <w:r>
        <w:rPr>
          <w:rFonts w:ascii="Arial" w:cs="Arial" w:eastAsia="Arial" w:hAnsi="Arial"/>
          <w:sz w:val="18"/>
          <w:szCs w:val="18"/>
          <w:color w:val="202124"/>
        </w:rPr>
        <w:t>The following table sets forth information regarding stock option exercises and vested stock awards for the Company’s NEOs during the fiscal year ended August 29, 2026:</w:t>
      </w:r>
    </w:p>
    <w:p>
      <w:pPr>
        <w:spacing w:after="0" w:line="36"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5940" w:type="dxa"/>
            <w:vAlign w:val="bottom"/>
            <w:shd w:val="clear" w:color="auto" w:fill="212322"/>
          </w:tcPr>
          <w:p>
            <w:pPr>
              <w:spacing w:after="0"/>
              <w:rPr>
                <w:sz w:val="13"/>
                <w:szCs w:val="13"/>
                <w:color w:val="auto"/>
              </w:rPr>
            </w:pPr>
          </w:p>
        </w:tc>
        <w:tc>
          <w:tcPr>
            <w:tcW w:w="200" w:type="dxa"/>
            <w:vAlign w:val="bottom"/>
            <w:shd w:val="clear" w:color="auto" w:fill="212322"/>
          </w:tcPr>
          <w:p>
            <w:pPr>
              <w:spacing w:after="0"/>
              <w:rPr>
                <w:sz w:val="13"/>
                <w:szCs w:val="13"/>
                <w:color w:val="auto"/>
              </w:rPr>
            </w:pPr>
          </w:p>
        </w:tc>
        <w:tc>
          <w:tcPr>
            <w:tcW w:w="1860" w:type="dxa"/>
            <w:vAlign w:val="bottom"/>
            <w:gridSpan w:val="3"/>
            <w:shd w:val="clear" w:color="auto" w:fill="212322"/>
          </w:tcPr>
          <w:p>
            <w:pPr>
              <w:jc w:val="right"/>
              <w:ind w:right="417"/>
              <w:spacing w:after="0"/>
              <w:rPr>
                <w:sz w:val="20"/>
                <w:szCs w:val="20"/>
                <w:color w:val="auto"/>
              </w:rPr>
            </w:pPr>
            <w:r>
              <w:rPr>
                <w:rFonts w:ascii="Arial" w:cs="Arial" w:eastAsia="Arial" w:hAnsi="Arial"/>
                <w:sz w:val="13"/>
                <w:szCs w:val="13"/>
                <w:b w:val="1"/>
                <w:bCs w:val="1"/>
                <w:color w:val="FFFFFF"/>
              </w:rPr>
              <w:t>Option Awards</w:t>
            </w:r>
          </w:p>
        </w:tc>
        <w:tc>
          <w:tcPr>
            <w:tcW w:w="200" w:type="dxa"/>
            <w:vAlign w:val="bottom"/>
            <w:shd w:val="clear" w:color="auto" w:fill="212322"/>
          </w:tcPr>
          <w:p>
            <w:pPr>
              <w:spacing w:after="0"/>
              <w:rPr>
                <w:sz w:val="13"/>
                <w:szCs w:val="13"/>
                <w:color w:val="auto"/>
              </w:rPr>
            </w:pPr>
          </w:p>
        </w:tc>
        <w:tc>
          <w:tcPr>
            <w:tcW w:w="1520" w:type="dxa"/>
            <w:vAlign w:val="bottom"/>
            <w:gridSpan w:val="3"/>
            <w:shd w:val="clear" w:color="auto" w:fill="212322"/>
          </w:tcPr>
          <w:p>
            <w:pPr>
              <w:jc w:val="right"/>
              <w:ind w:right="277"/>
              <w:spacing w:after="0"/>
              <w:rPr>
                <w:sz w:val="20"/>
                <w:szCs w:val="20"/>
                <w:color w:val="auto"/>
              </w:rPr>
            </w:pPr>
            <w:r>
              <w:rPr>
                <w:rFonts w:ascii="Arial" w:cs="Arial" w:eastAsia="Arial" w:hAnsi="Arial"/>
                <w:sz w:val="13"/>
                <w:szCs w:val="13"/>
                <w:b w:val="1"/>
                <w:bCs w:val="1"/>
                <w:color w:val="FFFFFF"/>
              </w:rPr>
              <w:t>Stock Awards</w:t>
            </w:r>
          </w:p>
        </w:tc>
      </w:tr>
      <w:tr>
        <w:trPr>
          <w:trHeight w:val="175"/>
        </w:trPr>
        <w:tc>
          <w:tcPr>
            <w:tcW w:w="594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880" w:type="dxa"/>
            <w:vAlign w:val="bottom"/>
            <w:gridSpan w:val="2"/>
            <w:shd w:val="clear" w:color="auto" w:fill="212322"/>
          </w:tcPr>
          <w:p>
            <w:pPr>
              <w:jc w:val="center"/>
              <w:ind w:right="137"/>
              <w:spacing w:after="0"/>
              <w:rPr>
                <w:sz w:val="20"/>
                <w:szCs w:val="20"/>
                <w:color w:val="auto"/>
              </w:rPr>
            </w:pPr>
            <w:r>
              <w:rPr>
                <w:rFonts w:ascii="Arial" w:cs="Arial" w:eastAsia="Arial" w:hAnsi="Arial"/>
                <w:sz w:val="13"/>
                <w:szCs w:val="13"/>
                <w:b w:val="1"/>
                <w:bCs w:val="1"/>
                <w:color w:val="FFFFFF"/>
                <w:w w:val="97"/>
              </w:rPr>
              <w:t>Number</w:t>
            </w:r>
          </w:p>
        </w:tc>
        <w:tc>
          <w:tcPr>
            <w:tcW w:w="980" w:type="dxa"/>
            <w:vAlign w:val="bottom"/>
            <w:shd w:val="clear" w:color="auto" w:fill="212322"/>
          </w:tcPr>
          <w:p>
            <w:pPr>
              <w:spacing w:after="0"/>
              <w:rPr>
                <w:sz w:val="15"/>
                <w:szCs w:val="15"/>
                <w:color w:val="auto"/>
              </w:rPr>
            </w:pPr>
          </w:p>
        </w:tc>
        <w:tc>
          <w:tcPr>
            <w:tcW w:w="200" w:type="dxa"/>
            <w:vAlign w:val="bottom"/>
            <w:shd w:val="clear" w:color="auto" w:fill="212322"/>
          </w:tcPr>
          <w:p>
            <w:pPr>
              <w:spacing w:after="0"/>
              <w:rPr>
                <w:sz w:val="15"/>
                <w:szCs w:val="15"/>
                <w:color w:val="auto"/>
              </w:rPr>
            </w:pPr>
          </w:p>
        </w:tc>
        <w:tc>
          <w:tcPr>
            <w:tcW w:w="840" w:type="dxa"/>
            <w:vAlign w:val="bottom"/>
            <w:gridSpan w:val="2"/>
            <w:shd w:val="clear" w:color="auto" w:fill="212322"/>
          </w:tcPr>
          <w:p>
            <w:pPr>
              <w:jc w:val="center"/>
              <w:ind w:right="180"/>
              <w:spacing w:after="0"/>
              <w:rPr>
                <w:sz w:val="20"/>
                <w:szCs w:val="20"/>
                <w:color w:val="auto"/>
              </w:rPr>
            </w:pPr>
            <w:r>
              <w:rPr>
                <w:rFonts w:ascii="Arial" w:cs="Arial" w:eastAsia="Arial" w:hAnsi="Arial"/>
                <w:sz w:val="13"/>
                <w:szCs w:val="13"/>
                <w:b w:val="1"/>
                <w:bCs w:val="1"/>
                <w:color w:val="FFFFFF"/>
                <w:w w:val="93"/>
              </w:rPr>
              <w:t>Number</w:t>
            </w:r>
          </w:p>
        </w:tc>
        <w:tc>
          <w:tcPr>
            <w:tcW w:w="680" w:type="dxa"/>
            <w:vAlign w:val="bottom"/>
            <w:shd w:val="clear" w:color="auto" w:fill="212322"/>
          </w:tcPr>
          <w:p>
            <w:pPr>
              <w:spacing w:after="0"/>
              <w:rPr>
                <w:sz w:val="15"/>
                <w:szCs w:val="15"/>
                <w:color w:val="auto"/>
              </w:rPr>
            </w:pPr>
          </w:p>
        </w:tc>
      </w:tr>
      <w:tr>
        <w:trPr>
          <w:trHeight w:val="162"/>
        </w:trPr>
        <w:tc>
          <w:tcPr>
            <w:tcW w:w="5940" w:type="dxa"/>
            <w:vAlign w:val="bottom"/>
            <w:shd w:val="clear" w:color="auto" w:fill="212322"/>
          </w:tcPr>
          <w:p>
            <w:pPr>
              <w:spacing w:after="0"/>
              <w:rPr>
                <w:sz w:val="14"/>
                <w:szCs w:val="14"/>
                <w:color w:val="auto"/>
              </w:rPr>
            </w:pPr>
          </w:p>
        </w:tc>
        <w:tc>
          <w:tcPr>
            <w:tcW w:w="200" w:type="dxa"/>
            <w:vAlign w:val="bottom"/>
            <w:shd w:val="clear" w:color="auto" w:fill="212322"/>
          </w:tcPr>
          <w:p>
            <w:pPr>
              <w:ind w:left="60"/>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7"/>
              </w:rPr>
              <w:t>of Shares</w:t>
            </w:r>
          </w:p>
        </w:tc>
        <w:tc>
          <w:tcPr>
            <w:tcW w:w="180" w:type="dxa"/>
            <w:vAlign w:val="bottom"/>
            <w:shd w:val="clear" w:color="auto" w:fill="212322"/>
          </w:tcPr>
          <w:p>
            <w:pPr>
              <w:ind w:left="60"/>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2"/>
              </w:rPr>
              <w:t>Value</w:t>
            </w:r>
          </w:p>
        </w:tc>
        <w:tc>
          <w:tcPr>
            <w:tcW w:w="1040" w:type="dxa"/>
            <w:vAlign w:val="bottom"/>
            <w:gridSpan w:val="3"/>
            <w:shd w:val="clear" w:color="auto" w:fill="212322"/>
          </w:tcPr>
          <w:p>
            <w:pPr>
              <w:ind w:left="80"/>
              <w:spacing w:after="0"/>
              <w:rPr>
                <w:sz w:val="20"/>
                <w:szCs w:val="20"/>
                <w:color w:val="auto"/>
              </w:rPr>
            </w:pPr>
            <w:r>
              <w:rPr>
                <w:rFonts w:ascii="Arial" w:cs="Arial" w:eastAsia="Arial" w:hAnsi="Arial"/>
                <w:sz w:val="13"/>
                <w:szCs w:val="13"/>
                <w:b w:val="1"/>
                <w:bCs w:val="1"/>
                <w:color w:val="FFFFFF"/>
              </w:rPr>
              <w:t>​​​ of Shares  ​​​</w:t>
            </w:r>
          </w:p>
        </w:tc>
        <w:tc>
          <w:tcPr>
            <w:tcW w:w="6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7"/>
              </w:rPr>
              <w:t>Value</w:t>
            </w:r>
          </w:p>
        </w:tc>
      </w:tr>
      <w:tr>
        <w:trPr>
          <w:trHeight w:val="162"/>
        </w:trPr>
        <w:tc>
          <w:tcPr>
            <w:tcW w:w="5940" w:type="dxa"/>
            <w:vAlign w:val="bottom"/>
            <w:shd w:val="clear" w:color="auto" w:fill="212322"/>
          </w:tcPr>
          <w:p>
            <w:pPr>
              <w:spacing w:after="0"/>
              <w:rPr>
                <w:sz w:val="14"/>
                <w:szCs w:val="14"/>
                <w:color w:val="auto"/>
              </w:rPr>
            </w:pPr>
          </w:p>
        </w:tc>
        <w:tc>
          <w:tcPr>
            <w:tcW w:w="200" w:type="dxa"/>
            <w:vAlign w:val="bottom"/>
            <w:shd w:val="clear" w:color="auto" w:fill="212322"/>
          </w:tcPr>
          <w:p>
            <w:pPr>
              <w:spacing w:after="0"/>
              <w:rPr>
                <w:sz w:val="14"/>
                <w:szCs w:val="14"/>
                <w:color w:val="auto"/>
              </w:rPr>
            </w:pPr>
          </w:p>
        </w:tc>
        <w:tc>
          <w:tcPr>
            <w:tcW w:w="70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5"/>
              </w:rPr>
              <w:t>Acquired</w:t>
            </w:r>
          </w:p>
        </w:tc>
        <w:tc>
          <w:tcPr>
            <w:tcW w:w="180" w:type="dxa"/>
            <w:vAlign w:val="bottom"/>
            <w:shd w:val="clear" w:color="auto" w:fill="212322"/>
          </w:tcPr>
          <w:p>
            <w:pPr>
              <w:spacing w:after="0"/>
              <w:rPr>
                <w:sz w:val="14"/>
                <w:szCs w:val="14"/>
                <w:color w:val="auto"/>
              </w:rPr>
            </w:pPr>
          </w:p>
        </w:tc>
        <w:tc>
          <w:tcPr>
            <w:tcW w:w="9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8"/>
              </w:rPr>
              <w:t>Realized</w:t>
            </w:r>
          </w:p>
        </w:tc>
        <w:tc>
          <w:tcPr>
            <w:tcW w:w="200" w:type="dxa"/>
            <w:vAlign w:val="bottom"/>
            <w:shd w:val="clear" w:color="auto" w:fill="212322"/>
          </w:tcPr>
          <w:p>
            <w:pPr>
              <w:spacing w:after="0"/>
              <w:rPr>
                <w:sz w:val="14"/>
                <w:szCs w:val="14"/>
                <w:color w:val="auto"/>
              </w:rPr>
            </w:pPr>
          </w:p>
        </w:tc>
        <w:tc>
          <w:tcPr>
            <w:tcW w:w="840" w:type="dxa"/>
            <w:vAlign w:val="bottom"/>
            <w:gridSpan w:val="2"/>
            <w:shd w:val="clear" w:color="auto" w:fill="212322"/>
          </w:tcPr>
          <w:p>
            <w:pPr>
              <w:jc w:val="center"/>
              <w:ind w:right="180"/>
              <w:spacing w:after="0"/>
              <w:rPr>
                <w:sz w:val="20"/>
                <w:szCs w:val="20"/>
                <w:color w:val="auto"/>
              </w:rPr>
            </w:pPr>
            <w:r>
              <w:rPr>
                <w:rFonts w:ascii="Arial" w:cs="Arial" w:eastAsia="Arial" w:hAnsi="Arial"/>
                <w:sz w:val="13"/>
                <w:szCs w:val="13"/>
                <w:b w:val="1"/>
                <w:bCs w:val="1"/>
                <w:color w:val="FFFFFF"/>
                <w:w w:val="95"/>
              </w:rPr>
              <w:t>Acquired</w:t>
            </w:r>
          </w:p>
        </w:tc>
        <w:tc>
          <w:tcPr>
            <w:tcW w:w="6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4"/>
              </w:rPr>
              <w:t>Realized</w:t>
            </w:r>
          </w:p>
        </w:tc>
      </w:tr>
      <w:tr>
        <w:trPr>
          <w:trHeight w:val="162"/>
        </w:trPr>
        <w:tc>
          <w:tcPr>
            <w:tcW w:w="5940" w:type="dxa"/>
            <w:vAlign w:val="bottom"/>
            <w:shd w:val="clear" w:color="auto" w:fill="212322"/>
          </w:tcPr>
          <w:p>
            <w:pPr>
              <w:spacing w:after="0"/>
              <w:rPr>
                <w:sz w:val="14"/>
                <w:szCs w:val="14"/>
                <w:color w:val="auto"/>
              </w:rPr>
            </w:pPr>
          </w:p>
        </w:tc>
        <w:tc>
          <w:tcPr>
            <w:tcW w:w="200" w:type="dxa"/>
            <w:vAlign w:val="bottom"/>
            <w:shd w:val="clear" w:color="auto" w:fill="212322"/>
          </w:tcPr>
          <w:p>
            <w:pPr>
              <w:spacing w:after="0"/>
              <w:rPr>
                <w:sz w:val="14"/>
                <w:szCs w:val="14"/>
                <w:color w:val="auto"/>
              </w:rPr>
            </w:pPr>
          </w:p>
        </w:tc>
        <w:tc>
          <w:tcPr>
            <w:tcW w:w="70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5"/>
              </w:rPr>
              <w:t>on Exercise</w:t>
            </w:r>
          </w:p>
        </w:tc>
        <w:tc>
          <w:tcPr>
            <w:tcW w:w="180" w:type="dxa"/>
            <w:vAlign w:val="bottom"/>
            <w:shd w:val="clear" w:color="auto" w:fill="212322"/>
          </w:tcPr>
          <w:p>
            <w:pPr>
              <w:spacing w:after="0"/>
              <w:rPr>
                <w:sz w:val="14"/>
                <w:szCs w:val="14"/>
                <w:color w:val="auto"/>
              </w:rPr>
            </w:pPr>
          </w:p>
        </w:tc>
        <w:tc>
          <w:tcPr>
            <w:tcW w:w="9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8"/>
              </w:rPr>
              <w:t>on Exercise</w:t>
            </w:r>
          </w:p>
        </w:tc>
        <w:tc>
          <w:tcPr>
            <w:tcW w:w="200" w:type="dxa"/>
            <w:vAlign w:val="bottom"/>
            <w:shd w:val="clear" w:color="auto" w:fill="212322"/>
          </w:tcPr>
          <w:p>
            <w:pPr>
              <w:spacing w:after="0"/>
              <w:rPr>
                <w:sz w:val="14"/>
                <w:szCs w:val="14"/>
                <w:color w:val="auto"/>
              </w:rPr>
            </w:pPr>
          </w:p>
        </w:tc>
        <w:tc>
          <w:tcPr>
            <w:tcW w:w="840" w:type="dxa"/>
            <w:vAlign w:val="bottom"/>
            <w:gridSpan w:val="2"/>
            <w:shd w:val="clear" w:color="auto" w:fill="212322"/>
          </w:tcPr>
          <w:p>
            <w:pPr>
              <w:jc w:val="center"/>
              <w:ind w:right="180"/>
              <w:spacing w:after="0"/>
              <w:rPr>
                <w:sz w:val="20"/>
                <w:szCs w:val="20"/>
                <w:color w:val="auto"/>
              </w:rPr>
            </w:pPr>
            <w:r>
              <w:rPr>
                <w:rFonts w:ascii="Arial" w:cs="Arial" w:eastAsia="Arial" w:hAnsi="Arial"/>
                <w:sz w:val="13"/>
                <w:szCs w:val="13"/>
                <w:b w:val="1"/>
                <w:bCs w:val="1"/>
                <w:color w:val="FFFFFF"/>
                <w:w w:val="93"/>
              </w:rPr>
              <w:t>on Vesting</w:t>
            </w:r>
          </w:p>
        </w:tc>
        <w:tc>
          <w:tcPr>
            <w:tcW w:w="6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6"/>
              </w:rPr>
              <w:t>on Vesting</w:t>
            </w:r>
          </w:p>
        </w:tc>
      </w:tr>
      <w:tr>
        <w:trPr>
          <w:trHeight w:val="148"/>
        </w:trPr>
        <w:tc>
          <w:tcPr>
            <w:tcW w:w="5940" w:type="dxa"/>
            <w:vAlign w:val="bottom"/>
            <w:shd w:val="clear" w:color="auto" w:fill="212322"/>
          </w:tcPr>
          <w:p>
            <w:pPr>
              <w:spacing w:after="0"/>
              <w:rPr>
                <w:sz w:val="20"/>
                <w:szCs w:val="20"/>
                <w:color w:val="auto"/>
              </w:rPr>
            </w:pPr>
            <w:r>
              <w:rPr>
                <w:rFonts w:ascii="Arial" w:cs="Arial" w:eastAsia="Arial" w:hAnsi="Arial"/>
                <w:sz w:val="13"/>
                <w:szCs w:val="13"/>
                <w:b w:val="1"/>
                <w:bCs w:val="1"/>
                <w:color w:val="FFFFFF"/>
              </w:rPr>
              <w:t>Name</w:t>
            </w:r>
          </w:p>
        </w:tc>
        <w:tc>
          <w:tcPr>
            <w:tcW w:w="200" w:type="dxa"/>
            <w:vAlign w:val="bottom"/>
            <w:shd w:val="clear" w:color="auto" w:fill="212322"/>
          </w:tcPr>
          <w:p>
            <w:pPr>
              <w:spacing w:after="0"/>
              <w:rPr>
                <w:sz w:val="12"/>
                <w:szCs w:val="12"/>
                <w:color w:val="auto"/>
              </w:rPr>
            </w:pPr>
          </w:p>
        </w:tc>
        <w:tc>
          <w:tcPr>
            <w:tcW w:w="700" w:type="dxa"/>
            <w:vAlign w:val="bottom"/>
            <w:tcBorders>
              <w:bottom w:val="single" w:sz="8" w:color="auto"/>
            </w:tcBorders>
            <w:shd w:val="clear" w:color="auto" w:fill="212322"/>
          </w:tcPr>
          <w:p>
            <w:pPr>
              <w:jc w:val="center"/>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212322"/>
          </w:tcPr>
          <w:p>
            <w:pPr>
              <w:spacing w:after="0"/>
              <w:rPr>
                <w:sz w:val="12"/>
                <w:szCs w:val="12"/>
                <w:color w:val="auto"/>
              </w:rPr>
            </w:pPr>
          </w:p>
        </w:tc>
        <w:tc>
          <w:tcPr>
            <w:tcW w:w="980" w:type="dxa"/>
            <w:vAlign w:val="bottom"/>
            <w:tcBorders>
              <w:bottom w:val="single" w:sz="8" w:color="auto"/>
            </w:tcBorders>
            <w:shd w:val="clear" w:color="auto" w:fill="212322"/>
          </w:tcPr>
          <w:p>
            <w:pPr>
              <w:jc w:val="center"/>
              <w:spacing w:after="0"/>
              <w:rPr>
                <w:sz w:val="20"/>
                <w:szCs w:val="20"/>
                <w:color w:val="auto"/>
              </w:rPr>
            </w:pPr>
            <w:r>
              <w:rPr>
                <w:rFonts w:ascii="Arial" w:cs="Arial" w:eastAsia="Arial" w:hAnsi="Arial"/>
                <w:sz w:val="13"/>
                <w:szCs w:val="13"/>
                <w:b w:val="1"/>
                <w:bCs w:val="1"/>
                <w:color w:val="FFFFFF"/>
                <w:w w:val="95"/>
              </w:rPr>
              <w:t>($) (1)</w:t>
            </w:r>
          </w:p>
        </w:tc>
        <w:tc>
          <w:tcPr>
            <w:tcW w:w="200" w:type="dxa"/>
            <w:vAlign w:val="bottom"/>
            <w:shd w:val="clear" w:color="auto" w:fill="212322"/>
          </w:tcPr>
          <w:p>
            <w:pPr>
              <w:spacing w:after="0"/>
              <w:rPr>
                <w:sz w:val="12"/>
                <w:szCs w:val="12"/>
                <w:color w:val="auto"/>
              </w:rPr>
            </w:pPr>
          </w:p>
        </w:tc>
        <w:tc>
          <w:tcPr>
            <w:tcW w:w="660" w:type="dxa"/>
            <w:vAlign w:val="bottom"/>
            <w:tcBorders>
              <w:bottom w:val="single" w:sz="8" w:color="auto"/>
            </w:tcBorders>
            <w:shd w:val="clear" w:color="auto" w:fill="212322"/>
          </w:tcPr>
          <w:p>
            <w:pPr>
              <w:jc w:val="center"/>
              <w:spacing w:after="0"/>
              <w:rPr>
                <w:sz w:val="20"/>
                <w:szCs w:val="20"/>
                <w:color w:val="auto"/>
              </w:rPr>
            </w:pPr>
            <w:r>
              <w:rPr>
                <w:rFonts w:ascii="Arial" w:cs="Arial" w:eastAsia="Arial" w:hAnsi="Arial"/>
                <w:sz w:val="13"/>
                <w:szCs w:val="13"/>
                <w:b w:val="1"/>
                <w:bCs w:val="1"/>
                <w:color w:val="FFFFFF"/>
                <w:w w:val="95"/>
              </w:rPr>
              <w:t>(#) (2)</w:t>
            </w:r>
          </w:p>
        </w:tc>
        <w:tc>
          <w:tcPr>
            <w:tcW w:w="180" w:type="dxa"/>
            <w:vAlign w:val="bottom"/>
            <w:shd w:val="clear" w:color="auto" w:fill="212322"/>
          </w:tcPr>
          <w:p>
            <w:pPr>
              <w:spacing w:after="0"/>
              <w:rPr>
                <w:sz w:val="12"/>
                <w:szCs w:val="12"/>
                <w:color w:val="auto"/>
              </w:rPr>
            </w:pPr>
          </w:p>
        </w:tc>
        <w:tc>
          <w:tcPr>
            <w:tcW w:w="680" w:type="dxa"/>
            <w:vAlign w:val="bottom"/>
            <w:tcBorders>
              <w:bottom w:val="single" w:sz="8" w:color="auto"/>
            </w:tcBorders>
            <w:shd w:val="clear" w:color="auto" w:fill="212322"/>
          </w:tcPr>
          <w:p>
            <w:pPr>
              <w:jc w:val="center"/>
              <w:spacing w:after="0"/>
              <w:rPr>
                <w:sz w:val="20"/>
                <w:szCs w:val="20"/>
                <w:color w:val="auto"/>
              </w:rPr>
            </w:pPr>
            <w:r>
              <w:rPr>
                <w:rFonts w:ascii="Arial" w:cs="Arial" w:eastAsia="Arial" w:hAnsi="Arial"/>
                <w:sz w:val="13"/>
                <w:szCs w:val="13"/>
                <w:b w:val="1"/>
                <w:bCs w:val="1"/>
                <w:color w:val="FFFFFF"/>
                <w:w w:val="95"/>
              </w:rPr>
              <w:t>($) (3)</w:t>
            </w:r>
          </w:p>
        </w:tc>
      </w:tr>
      <w:tr>
        <w:trPr>
          <w:trHeight w:val="155"/>
        </w:trPr>
        <w:tc>
          <w:tcPr>
            <w:tcW w:w="614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Philip B. Daniele, III</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3,533</w:t>
            </w:r>
          </w:p>
        </w:tc>
        <w:tc>
          <w:tcPr>
            <w:tcW w:w="1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11,814,279</w:t>
            </w: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3"/>
                <w:szCs w:val="13"/>
                <w:color w:val="202124"/>
              </w:rPr>
              <w:t>8</w:t>
            </w:r>
          </w:p>
        </w:tc>
        <w:tc>
          <w:tcPr>
            <w:tcW w:w="1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28,511</w:t>
            </w:r>
          </w:p>
        </w:tc>
      </w:tr>
      <w:tr>
        <w:trPr>
          <w:trHeight w:val="156"/>
        </w:trPr>
        <w:tc>
          <w:tcPr>
            <w:tcW w:w="614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Jamere Jackson</w:t>
            </w:r>
          </w:p>
        </w:tc>
        <w:tc>
          <w:tcPr>
            <w:tcW w:w="880" w:type="dxa"/>
            <w:vAlign w:val="bottom"/>
            <w:tcBorders>
              <w:bottom w:val="single" w:sz="8" w:color="808080"/>
            </w:tcBorders>
            <w:gridSpan w:val="2"/>
          </w:tcPr>
          <w:p>
            <w:pPr>
              <w:jc w:val="right"/>
              <w:ind w:right="177"/>
              <w:spacing w:after="0"/>
              <w:rPr>
                <w:sz w:val="20"/>
                <w:szCs w:val="20"/>
                <w:color w:val="auto"/>
              </w:rPr>
            </w:pPr>
            <w:r>
              <w:rPr>
                <w:rFonts w:ascii="Arial" w:cs="Arial" w:eastAsia="Arial" w:hAnsi="Arial"/>
                <w:sz w:val="13"/>
                <w:szCs w:val="13"/>
                <w:color w:val="202124"/>
              </w:rPr>
              <w:t>—</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w:t>
            </w:r>
          </w:p>
        </w:tc>
        <w:tc>
          <w:tcPr>
            <w:tcW w:w="2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gridSpan w:val="2"/>
          </w:tcPr>
          <w:p>
            <w:pPr>
              <w:jc w:val="right"/>
              <w:ind w:right="240"/>
              <w:spacing w:after="0"/>
              <w:rPr>
                <w:sz w:val="20"/>
                <w:szCs w:val="20"/>
                <w:color w:val="auto"/>
              </w:rPr>
            </w:pPr>
            <w:r>
              <w:rPr>
                <w:rFonts w:ascii="Arial" w:cs="Arial" w:eastAsia="Arial" w:hAnsi="Arial"/>
                <w:sz w:val="13"/>
                <w:szCs w:val="13"/>
                <w:color w:val="202124"/>
              </w:rPr>
              <w:t>—</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w:t>
            </w:r>
          </w:p>
        </w:tc>
      </w:tr>
      <w:tr>
        <w:trPr>
          <w:trHeight w:val="156"/>
        </w:trPr>
        <w:tc>
          <w:tcPr>
            <w:tcW w:w="614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Thomas B. Newbern</w:t>
            </w:r>
          </w:p>
        </w:tc>
        <w:tc>
          <w:tcPr>
            <w:tcW w:w="880" w:type="dxa"/>
            <w:vAlign w:val="bottom"/>
            <w:tcBorders>
              <w:bottom w:val="single" w:sz="8" w:color="808080"/>
            </w:tcBorders>
            <w:gridSpan w:val="2"/>
          </w:tcPr>
          <w:p>
            <w:pPr>
              <w:jc w:val="right"/>
              <w:ind w:right="177"/>
              <w:spacing w:after="0"/>
              <w:rPr>
                <w:sz w:val="20"/>
                <w:szCs w:val="20"/>
                <w:color w:val="auto"/>
              </w:rPr>
            </w:pPr>
            <w:r>
              <w:rPr>
                <w:rFonts w:ascii="Arial" w:cs="Arial" w:eastAsia="Arial" w:hAnsi="Arial"/>
                <w:sz w:val="13"/>
                <w:szCs w:val="13"/>
                <w:color w:val="202124"/>
              </w:rPr>
              <w:t>—</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w:t>
            </w:r>
          </w:p>
        </w:tc>
        <w:tc>
          <w:tcPr>
            <w:tcW w:w="2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gridSpan w:val="2"/>
          </w:tcPr>
          <w:p>
            <w:pPr>
              <w:jc w:val="right"/>
              <w:ind w:right="240"/>
              <w:spacing w:after="0"/>
              <w:rPr>
                <w:sz w:val="20"/>
                <w:szCs w:val="20"/>
                <w:color w:val="auto"/>
              </w:rPr>
            </w:pPr>
            <w:r>
              <w:rPr>
                <w:rFonts w:ascii="Arial" w:cs="Arial" w:eastAsia="Arial" w:hAnsi="Arial"/>
                <w:sz w:val="13"/>
                <w:szCs w:val="13"/>
                <w:color w:val="202124"/>
              </w:rPr>
              <w:t>—</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w:t>
            </w:r>
          </w:p>
        </w:tc>
      </w:tr>
      <w:tr>
        <w:trPr>
          <w:trHeight w:val="155"/>
        </w:trPr>
        <w:tc>
          <w:tcPr>
            <w:tcW w:w="614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Eric S. Gould</w:t>
            </w:r>
          </w:p>
        </w:tc>
        <w:tc>
          <w:tcPr>
            <w:tcW w:w="880" w:type="dxa"/>
            <w:vAlign w:val="bottom"/>
            <w:tcBorders>
              <w:bottom w:val="single" w:sz="8" w:color="808080"/>
            </w:tcBorders>
            <w:gridSpan w:val="2"/>
          </w:tcPr>
          <w:p>
            <w:pPr>
              <w:jc w:val="right"/>
              <w:ind w:right="177"/>
              <w:spacing w:after="0"/>
              <w:rPr>
                <w:sz w:val="20"/>
                <w:szCs w:val="20"/>
                <w:color w:val="auto"/>
              </w:rPr>
            </w:pPr>
            <w:r>
              <w:rPr>
                <w:rFonts w:ascii="Arial" w:cs="Arial" w:eastAsia="Arial" w:hAnsi="Arial"/>
                <w:sz w:val="13"/>
                <w:szCs w:val="13"/>
                <w:color w:val="202124"/>
              </w:rPr>
              <w:t>—</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w:t>
            </w:r>
          </w:p>
        </w:tc>
        <w:tc>
          <w:tcPr>
            <w:tcW w:w="2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gridSpan w:val="2"/>
          </w:tcPr>
          <w:p>
            <w:pPr>
              <w:jc w:val="right"/>
              <w:ind w:right="240"/>
              <w:spacing w:after="0"/>
              <w:rPr>
                <w:sz w:val="20"/>
                <w:szCs w:val="20"/>
                <w:color w:val="auto"/>
              </w:rPr>
            </w:pPr>
            <w:r>
              <w:rPr>
                <w:rFonts w:ascii="Arial" w:cs="Arial" w:eastAsia="Arial" w:hAnsi="Arial"/>
                <w:sz w:val="13"/>
                <w:szCs w:val="13"/>
                <w:color w:val="202124"/>
              </w:rPr>
              <w:t>—</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w:t>
            </w:r>
          </w:p>
        </w:tc>
      </w:tr>
      <w:tr>
        <w:trPr>
          <w:trHeight w:val="176"/>
        </w:trPr>
        <w:tc>
          <w:tcPr>
            <w:tcW w:w="6140" w:type="dxa"/>
            <w:vAlign w:val="bottom"/>
            <w:tcBorders>
              <w:bottom w:val="single" w:sz="8" w:color="202124"/>
            </w:tcBorders>
            <w:gridSpan w:val="2"/>
          </w:tcPr>
          <w:p>
            <w:pPr>
              <w:spacing w:after="0"/>
              <w:rPr>
                <w:sz w:val="20"/>
                <w:szCs w:val="20"/>
                <w:color w:val="auto"/>
              </w:rPr>
            </w:pPr>
            <w:r>
              <w:rPr>
                <w:rFonts w:ascii="Arial" w:cs="Arial" w:eastAsia="Arial" w:hAnsi="Arial"/>
                <w:sz w:val="13"/>
                <w:szCs w:val="13"/>
                <w:b w:val="1"/>
                <w:bCs w:val="1"/>
                <w:color w:val="F37F00"/>
              </w:rPr>
              <w:t>Kenneth E. Jaycox, Jr.</w:t>
            </w:r>
          </w:p>
        </w:tc>
        <w:tc>
          <w:tcPr>
            <w:tcW w:w="880" w:type="dxa"/>
            <w:vAlign w:val="bottom"/>
            <w:tcBorders>
              <w:bottom w:val="single" w:sz="8" w:color="202124"/>
            </w:tcBorders>
            <w:gridSpan w:val="2"/>
          </w:tcPr>
          <w:p>
            <w:pPr>
              <w:jc w:val="right"/>
              <w:ind w:right="177"/>
              <w:spacing w:after="0"/>
              <w:rPr>
                <w:sz w:val="20"/>
                <w:szCs w:val="20"/>
                <w:color w:val="auto"/>
              </w:rPr>
            </w:pPr>
            <w:r>
              <w:rPr>
                <w:rFonts w:ascii="Arial" w:cs="Arial" w:eastAsia="Arial" w:hAnsi="Arial"/>
                <w:sz w:val="13"/>
                <w:szCs w:val="13"/>
                <w:color w:val="202124"/>
              </w:rPr>
              <w:t>—</w:t>
            </w:r>
          </w:p>
        </w:tc>
        <w:tc>
          <w:tcPr>
            <w:tcW w:w="980" w:type="dxa"/>
            <w:vAlign w:val="bottom"/>
            <w:tcBorders>
              <w:bottom w:val="single" w:sz="8" w:color="202124"/>
            </w:tcBorders>
          </w:tcPr>
          <w:p>
            <w:pPr>
              <w:jc w:val="right"/>
              <w:spacing w:after="0"/>
              <w:rPr>
                <w:sz w:val="20"/>
                <w:szCs w:val="20"/>
                <w:color w:val="auto"/>
              </w:rPr>
            </w:pPr>
            <w:r>
              <w:rPr>
                <w:rFonts w:ascii="Arial" w:cs="Arial" w:eastAsia="Arial" w:hAnsi="Arial"/>
                <w:sz w:val="13"/>
                <w:szCs w:val="13"/>
                <w:color w:val="202124"/>
              </w:rPr>
              <w:t>—</w:t>
            </w:r>
          </w:p>
        </w:tc>
        <w:tc>
          <w:tcPr>
            <w:tcW w:w="200" w:type="dxa"/>
            <w:vAlign w:val="bottom"/>
            <w:tcBorders>
              <w:bottom w:val="single" w:sz="8" w:color="202124"/>
            </w:tcBorders>
          </w:tcPr>
          <w:p>
            <w:pPr>
              <w:spacing w:after="0"/>
              <w:rPr>
                <w:sz w:val="15"/>
                <w:szCs w:val="15"/>
                <w:color w:val="auto"/>
              </w:rPr>
            </w:pPr>
          </w:p>
        </w:tc>
        <w:tc>
          <w:tcPr>
            <w:tcW w:w="840" w:type="dxa"/>
            <w:vAlign w:val="bottom"/>
            <w:tcBorders>
              <w:bottom w:val="single" w:sz="8" w:color="202124"/>
            </w:tcBorders>
            <w:gridSpan w:val="2"/>
          </w:tcPr>
          <w:p>
            <w:pPr>
              <w:jc w:val="right"/>
              <w:ind w:right="240"/>
              <w:spacing w:after="0"/>
              <w:rPr>
                <w:sz w:val="20"/>
                <w:szCs w:val="20"/>
                <w:color w:val="auto"/>
              </w:rPr>
            </w:pPr>
            <w:r>
              <w:rPr>
                <w:rFonts w:ascii="Arial" w:cs="Arial" w:eastAsia="Arial" w:hAnsi="Arial"/>
                <w:sz w:val="13"/>
                <w:szCs w:val="13"/>
                <w:color w:val="202124"/>
              </w:rPr>
              <w:t>—</w:t>
            </w:r>
          </w:p>
        </w:tc>
        <w:tc>
          <w:tcPr>
            <w:tcW w:w="680" w:type="dxa"/>
            <w:vAlign w:val="bottom"/>
            <w:tcBorders>
              <w:bottom w:val="single" w:sz="8" w:color="202124"/>
            </w:tcBorders>
          </w:tcPr>
          <w:p>
            <w:pPr>
              <w:jc w:val="right"/>
              <w:spacing w:after="0"/>
              <w:rPr>
                <w:sz w:val="20"/>
                <w:szCs w:val="20"/>
                <w:color w:val="auto"/>
              </w:rPr>
            </w:pPr>
            <w:r>
              <w:rPr>
                <w:rFonts w:ascii="Arial" w:cs="Arial" w:eastAsia="Arial" w:hAnsi="Arial"/>
                <w:sz w:val="13"/>
                <w:szCs w:val="13"/>
                <w:color w:val="202124"/>
              </w:rPr>
              <w:t>—</w:t>
            </w:r>
          </w:p>
        </w:tc>
      </w:tr>
    </w:tbl>
    <w:p>
      <w:pPr>
        <w:spacing w:after="0" w:line="67" w:lineRule="exact"/>
        <w:rPr>
          <w:sz w:val="20"/>
          <w:szCs w:val="20"/>
          <w:color w:val="auto"/>
        </w:rPr>
      </w:pPr>
    </w:p>
    <w:p>
      <w:pPr>
        <w:ind w:left="960" w:right="40" w:hanging="316"/>
        <w:spacing w:after="0" w:line="220" w:lineRule="auto"/>
        <w:tabs>
          <w:tab w:leader="none" w:pos="960" w:val="left"/>
        </w:tabs>
        <w:numPr>
          <w:ilvl w:val="0"/>
          <w:numId w:val="95"/>
        </w:numPr>
        <w:rPr>
          <w:rFonts w:ascii="Arial" w:cs="Arial" w:eastAsia="Arial" w:hAnsi="Arial"/>
          <w:sz w:val="24"/>
          <w:szCs w:val="24"/>
          <w:color w:val="202124"/>
          <w:vertAlign w:val="superscript"/>
        </w:rPr>
      </w:pPr>
      <w:r>
        <w:rPr>
          <w:rFonts w:ascii="Arial" w:cs="Arial" w:eastAsia="Arial" w:hAnsi="Arial"/>
          <w:sz w:val="16"/>
          <w:szCs w:val="16"/>
          <w:color w:val="202124"/>
        </w:rPr>
        <w:t>If the shares were sold immediately upon exercise, the value realized on exercise of the option is the difference between the actual sales price and the exercise price of the option. Otherwise, the value realized is the difference between the closing price of AutoZone common stock on the NYSE on the date of exercise and the exercise price of the option.</w:t>
      </w:r>
    </w:p>
    <w:p>
      <w:pPr>
        <w:spacing w:after="0" w:line="17" w:lineRule="exact"/>
        <w:rPr>
          <w:rFonts w:ascii="Arial" w:cs="Arial" w:eastAsia="Arial" w:hAnsi="Arial"/>
          <w:sz w:val="24"/>
          <w:szCs w:val="24"/>
          <w:color w:val="202124"/>
          <w:vertAlign w:val="superscript"/>
        </w:rPr>
      </w:pPr>
    </w:p>
    <w:p>
      <w:pPr>
        <w:ind w:left="960" w:right="360" w:hanging="316"/>
        <w:spacing w:after="0" w:line="210" w:lineRule="auto"/>
        <w:tabs>
          <w:tab w:leader="none" w:pos="960" w:val="left"/>
        </w:tabs>
        <w:numPr>
          <w:ilvl w:val="0"/>
          <w:numId w:val="95"/>
        </w:numPr>
        <w:rPr>
          <w:rFonts w:ascii="Arial" w:cs="Arial" w:eastAsia="Arial" w:hAnsi="Arial"/>
          <w:sz w:val="24"/>
          <w:szCs w:val="24"/>
          <w:color w:val="202124"/>
          <w:vertAlign w:val="superscript"/>
        </w:rPr>
      </w:pPr>
      <w:r>
        <w:rPr>
          <w:rFonts w:ascii="Arial" w:cs="Arial" w:eastAsia="Arial" w:hAnsi="Arial"/>
          <w:sz w:val="16"/>
          <w:szCs w:val="16"/>
          <w:color w:val="202124"/>
        </w:rPr>
        <w:t>Represents shares acquired pursuant to the Executive Stock Purchase Plan. See “Compensation Discussion and Analysis” on page 60 for more information about this plan.</w:t>
      </w:r>
    </w:p>
    <w:p>
      <w:pPr>
        <w:spacing w:after="0" w:line="1" w:lineRule="exact"/>
        <w:rPr>
          <w:rFonts w:ascii="Arial" w:cs="Arial" w:eastAsia="Arial" w:hAnsi="Arial"/>
          <w:sz w:val="24"/>
          <w:szCs w:val="24"/>
          <w:color w:val="202124"/>
          <w:vertAlign w:val="superscript"/>
        </w:rPr>
      </w:pPr>
    </w:p>
    <w:p>
      <w:pPr>
        <w:ind w:left="960" w:hanging="316"/>
        <w:spacing w:after="0" w:line="199" w:lineRule="auto"/>
        <w:tabs>
          <w:tab w:leader="none" w:pos="960" w:val="left"/>
        </w:tabs>
        <w:numPr>
          <w:ilvl w:val="0"/>
          <w:numId w:val="95"/>
        </w:numPr>
        <w:rPr>
          <w:rFonts w:ascii="Arial" w:cs="Arial" w:eastAsia="Arial" w:hAnsi="Arial"/>
          <w:sz w:val="24"/>
          <w:szCs w:val="24"/>
          <w:color w:val="202124"/>
          <w:vertAlign w:val="superscript"/>
        </w:rPr>
      </w:pPr>
      <w:r>
        <w:rPr>
          <w:rFonts w:ascii="Arial" w:cs="Arial" w:eastAsia="Arial" w:hAnsi="Arial"/>
          <w:sz w:val="16"/>
          <w:szCs w:val="16"/>
          <w:color w:val="202124"/>
        </w:rPr>
        <w:t>Based on the closing price of AutoZone common stock on the vesting date.</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Nonqualified Deferred Compensation</w:t>
      </w:r>
    </w:p>
    <w:p>
      <w:pPr>
        <w:spacing w:after="0" w:line="67" w:lineRule="exact"/>
        <w:rPr>
          <w:sz w:val="20"/>
          <w:szCs w:val="20"/>
          <w:color w:val="auto"/>
        </w:rPr>
      </w:pPr>
    </w:p>
    <w:p>
      <w:pPr>
        <w:ind w:left="640" w:right="280"/>
        <w:spacing w:after="0" w:line="271" w:lineRule="auto"/>
        <w:rPr>
          <w:sz w:val="20"/>
          <w:szCs w:val="20"/>
          <w:color w:val="auto"/>
        </w:rPr>
      </w:pPr>
      <w:r>
        <w:rPr>
          <w:rFonts w:ascii="Arial" w:cs="Arial" w:eastAsia="Arial" w:hAnsi="Arial"/>
          <w:sz w:val="18"/>
          <w:szCs w:val="18"/>
          <w:color w:val="202124"/>
        </w:rPr>
        <w:t>The following table sets forth information regarding nonqualified deferred compensation for the Company’s NEOs as of and for the year ended August 29, 2026.</w:t>
      </w:r>
    </w:p>
    <w:p>
      <w:pPr>
        <w:spacing w:after="0" w:line="37"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4860" w:type="dxa"/>
            <w:vAlign w:val="bottom"/>
            <w:shd w:val="clear" w:color="auto" w:fill="202124"/>
          </w:tcPr>
          <w:p>
            <w:pPr>
              <w:spacing w:after="0"/>
              <w:rPr>
                <w:sz w:val="14"/>
                <w:szCs w:val="14"/>
                <w:color w:val="auto"/>
              </w:rPr>
            </w:pPr>
          </w:p>
        </w:tc>
        <w:tc>
          <w:tcPr>
            <w:tcW w:w="220" w:type="dxa"/>
            <w:vAlign w:val="bottom"/>
            <w:shd w:val="clear" w:color="auto" w:fill="202124"/>
          </w:tcPr>
          <w:p>
            <w:pPr>
              <w:ind w:left="60"/>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202124"/>
          </w:tcPr>
          <w:p>
            <w:pPr>
              <w:jc w:val="center"/>
              <w:ind w:right="17"/>
              <w:spacing w:after="0"/>
              <w:rPr>
                <w:sz w:val="20"/>
                <w:szCs w:val="20"/>
                <w:color w:val="auto"/>
              </w:rPr>
            </w:pPr>
            <w:r>
              <w:rPr>
                <w:rFonts w:ascii="Arial" w:cs="Arial" w:eastAsia="Arial" w:hAnsi="Arial"/>
                <w:sz w:val="13"/>
                <w:szCs w:val="13"/>
                <w:b w:val="1"/>
                <w:bCs w:val="1"/>
                <w:color w:val="FFFFFF"/>
                <w:w w:val="98"/>
              </w:rPr>
              <w:t>Executive</w:t>
            </w:r>
          </w:p>
        </w:tc>
        <w:tc>
          <w:tcPr>
            <w:tcW w:w="1000" w:type="dxa"/>
            <w:vAlign w:val="bottom"/>
            <w:shd w:val="clear" w:color="auto" w:fill="202124"/>
          </w:tcPr>
          <w:p>
            <w:pPr>
              <w:jc w:val="right"/>
              <w:ind w:right="97"/>
              <w:spacing w:after="0"/>
              <w:rPr>
                <w:sz w:val="20"/>
                <w:szCs w:val="20"/>
                <w:color w:val="auto"/>
              </w:rPr>
            </w:pPr>
            <w:r>
              <w:rPr>
                <w:rFonts w:ascii="Arial" w:cs="Arial" w:eastAsia="Arial" w:hAnsi="Arial"/>
                <w:sz w:val="13"/>
                <w:szCs w:val="13"/>
                <w:b w:val="1"/>
                <w:bCs w:val="1"/>
                <w:color w:val="FFFFFF"/>
              </w:rPr>
              <w:t>​​​  Company</w:t>
            </w:r>
          </w:p>
        </w:tc>
        <w:tc>
          <w:tcPr>
            <w:tcW w:w="1160" w:type="dxa"/>
            <w:vAlign w:val="bottom"/>
            <w:shd w:val="clear" w:color="auto" w:fill="202124"/>
          </w:tcPr>
          <w:p>
            <w:pPr>
              <w:jc w:val="right"/>
              <w:ind w:right="157"/>
              <w:spacing w:after="0"/>
              <w:rPr>
                <w:sz w:val="20"/>
                <w:szCs w:val="20"/>
                <w:color w:val="auto"/>
              </w:rPr>
            </w:pPr>
            <w:r>
              <w:rPr>
                <w:rFonts w:ascii="Arial" w:cs="Arial" w:eastAsia="Arial" w:hAnsi="Arial"/>
                <w:sz w:val="13"/>
                <w:szCs w:val="13"/>
                <w:b w:val="1"/>
                <w:bCs w:val="1"/>
                <w:color w:val="FFFFFF"/>
              </w:rPr>
              <w:t>​​​   Aggregate</w:t>
            </w:r>
          </w:p>
        </w:tc>
        <w:tc>
          <w:tcPr>
            <w:tcW w:w="940" w:type="dxa"/>
            <w:vAlign w:val="bottom"/>
            <w:shd w:val="clear" w:color="auto" w:fill="202124"/>
          </w:tcPr>
          <w:p>
            <w:pPr>
              <w:ind w:left="40"/>
              <w:spacing w:after="0"/>
              <w:rPr>
                <w:sz w:val="20"/>
                <w:szCs w:val="20"/>
                <w:color w:val="auto"/>
              </w:rPr>
            </w:pPr>
            <w:r>
              <w:rPr>
                <w:rFonts w:ascii="Arial" w:cs="Arial" w:eastAsia="Arial" w:hAnsi="Arial"/>
                <w:sz w:val="13"/>
                <w:szCs w:val="13"/>
                <w:b w:val="1"/>
                <w:bCs w:val="1"/>
                <w:color w:val="FFFFFF"/>
              </w:rPr>
              <w:t>​​​ Aggregate</w:t>
            </w:r>
          </w:p>
        </w:tc>
        <w:tc>
          <w:tcPr>
            <w:tcW w:w="780" w:type="dxa"/>
            <w:vAlign w:val="bottom"/>
            <w:shd w:val="clear" w:color="auto" w:fill="202124"/>
          </w:tcPr>
          <w:p>
            <w:pPr>
              <w:jc w:val="right"/>
              <w:spacing w:after="0"/>
              <w:rPr>
                <w:sz w:val="20"/>
                <w:szCs w:val="20"/>
                <w:color w:val="auto"/>
              </w:rPr>
            </w:pPr>
            <w:r>
              <w:rPr>
                <w:rFonts w:ascii="Arial" w:cs="Arial" w:eastAsia="Arial" w:hAnsi="Arial"/>
                <w:sz w:val="13"/>
                <w:szCs w:val="13"/>
                <w:b w:val="1"/>
                <w:bCs w:val="1"/>
                <w:color w:val="FFFFFF"/>
              </w:rPr>
              <w:t>​​​Aggregate</w:t>
            </w:r>
          </w:p>
        </w:tc>
      </w:tr>
      <w:tr>
        <w:trPr>
          <w:trHeight w:val="162"/>
        </w:trPr>
        <w:tc>
          <w:tcPr>
            <w:tcW w:w="4860" w:type="dxa"/>
            <w:vAlign w:val="bottom"/>
            <w:shd w:val="clear" w:color="auto" w:fill="202124"/>
          </w:tcPr>
          <w:p>
            <w:pPr>
              <w:spacing w:after="0"/>
              <w:rPr>
                <w:sz w:val="14"/>
                <w:szCs w:val="14"/>
                <w:color w:val="auto"/>
              </w:rPr>
            </w:pPr>
          </w:p>
        </w:tc>
        <w:tc>
          <w:tcPr>
            <w:tcW w:w="980" w:type="dxa"/>
            <w:vAlign w:val="bottom"/>
            <w:gridSpan w:val="2"/>
            <w:shd w:val="clear" w:color="auto" w:fill="202124"/>
          </w:tcPr>
          <w:p>
            <w:pPr>
              <w:jc w:val="center"/>
              <w:ind w:left="77"/>
              <w:spacing w:after="0"/>
              <w:rPr>
                <w:sz w:val="20"/>
                <w:szCs w:val="20"/>
                <w:color w:val="auto"/>
              </w:rPr>
            </w:pPr>
            <w:r>
              <w:rPr>
                <w:rFonts w:ascii="Arial" w:cs="Arial" w:eastAsia="Arial" w:hAnsi="Arial"/>
                <w:sz w:val="13"/>
                <w:szCs w:val="13"/>
                <w:b w:val="1"/>
                <w:bCs w:val="1"/>
                <w:color w:val="FFFFFF"/>
                <w:w w:val="98"/>
              </w:rPr>
              <w:t>Contributions</w:t>
            </w:r>
          </w:p>
        </w:tc>
        <w:tc>
          <w:tcPr>
            <w:tcW w:w="1000" w:type="dxa"/>
            <w:vAlign w:val="bottom"/>
            <w:shd w:val="clear" w:color="auto" w:fill="202124"/>
          </w:tcPr>
          <w:p>
            <w:pPr>
              <w:jc w:val="center"/>
              <w:ind w:left="37"/>
              <w:spacing w:after="0"/>
              <w:rPr>
                <w:sz w:val="20"/>
                <w:szCs w:val="20"/>
                <w:color w:val="auto"/>
              </w:rPr>
            </w:pPr>
            <w:r>
              <w:rPr>
                <w:rFonts w:ascii="Arial" w:cs="Arial" w:eastAsia="Arial" w:hAnsi="Arial"/>
                <w:sz w:val="13"/>
                <w:szCs w:val="13"/>
                <w:b w:val="1"/>
                <w:bCs w:val="1"/>
                <w:color w:val="FFFFFF"/>
                <w:w w:val="96"/>
              </w:rPr>
              <w:t>Contributions</w:t>
            </w:r>
          </w:p>
        </w:tc>
        <w:tc>
          <w:tcPr>
            <w:tcW w:w="1160" w:type="dxa"/>
            <w:vAlign w:val="bottom"/>
            <w:shd w:val="clear" w:color="auto" w:fill="202124"/>
          </w:tcPr>
          <w:p>
            <w:pPr>
              <w:jc w:val="center"/>
              <w:spacing w:after="0"/>
              <w:rPr>
                <w:sz w:val="20"/>
                <w:szCs w:val="20"/>
                <w:color w:val="auto"/>
              </w:rPr>
            </w:pPr>
            <w:r>
              <w:rPr>
                <w:rFonts w:ascii="Arial" w:cs="Arial" w:eastAsia="Arial" w:hAnsi="Arial"/>
                <w:sz w:val="13"/>
                <w:szCs w:val="13"/>
                <w:b w:val="1"/>
                <w:bCs w:val="1"/>
                <w:color w:val="FFFFFF"/>
                <w:w w:val="98"/>
              </w:rPr>
              <w:t>Earnings/ Losses</w:t>
            </w:r>
          </w:p>
        </w:tc>
        <w:tc>
          <w:tcPr>
            <w:tcW w:w="940" w:type="dxa"/>
            <w:vAlign w:val="bottom"/>
            <w:shd w:val="clear" w:color="auto" w:fill="202124"/>
          </w:tcPr>
          <w:p>
            <w:pPr>
              <w:jc w:val="center"/>
              <w:ind w:left="17"/>
              <w:spacing w:after="0"/>
              <w:rPr>
                <w:sz w:val="20"/>
                <w:szCs w:val="20"/>
                <w:color w:val="auto"/>
              </w:rPr>
            </w:pPr>
            <w:r>
              <w:rPr>
                <w:rFonts w:ascii="Arial" w:cs="Arial" w:eastAsia="Arial" w:hAnsi="Arial"/>
                <w:sz w:val="13"/>
                <w:szCs w:val="13"/>
                <w:b w:val="1"/>
                <w:bCs w:val="1"/>
                <w:color w:val="FFFFFF"/>
                <w:w w:val="97"/>
              </w:rPr>
              <w:t>Withdrawals /</w:t>
            </w:r>
          </w:p>
        </w:tc>
        <w:tc>
          <w:tcPr>
            <w:tcW w:w="780" w:type="dxa"/>
            <w:vAlign w:val="bottom"/>
            <w:shd w:val="clear" w:color="auto" w:fill="202124"/>
          </w:tcPr>
          <w:p>
            <w:pPr>
              <w:jc w:val="center"/>
              <w:ind w:left="57"/>
              <w:spacing w:after="0"/>
              <w:rPr>
                <w:sz w:val="20"/>
                <w:szCs w:val="20"/>
                <w:color w:val="auto"/>
              </w:rPr>
            </w:pPr>
            <w:r>
              <w:rPr>
                <w:rFonts w:ascii="Arial" w:cs="Arial" w:eastAsia="Arial" w:hAnsi="Arial"/>
                <w:sz w:val="13"/>
                <w:szCs w:val="13"/>
                <w:b w:val="1"/>
                <w:bCs w:val="1"/>
                <w:color w:val="FFFFFF"/>
                <w:w w:val="95"/>
              </w:rPr>
              <w:t>Balance at</w:t>
            </w:r>
          </w:p>
        </w:tc>
      </w:tr>
      <w:tr>
        <w:trPr>
          <w:trHeight w:val="162"/>
        </w:trPr>
        <w:tc>
          <w:tcPr>
            <w:tcW w:w="4860" w:type="dxa"/>
            <w:vAlign w:val="bottom"/>
            <w:shd w:val="clear" w:color="auto" w:fill="202124"/>
          </w:tcPr>
          <w:p>
            <w:pPr>
              <w:spacing w:after="0"/>
              <w:rPr>
                <w:sz w:val="14"/>
                <w:szCs w:val="14"/>
                <w:color w:val="auto"/>
              </w:rPr>
            </w:pPr>
          </w:p>
        </w:tc>
        <w:tc>
          <w:tcPr>
            <w:tcW w:w="220" w:type="dxa"/>
            <w:vAlign w:val="bottom"/>
            <w:shd w:val="clear" w:color="auto" w:fill="202124"/>
          </w:tcPr>
          <w:p>
            <w:pPr>
              <w:spacing w:after="0"/>
              <w:rPr>
                <w:sz w:val="14"/>
                <w:szCs w:val="14"/>
                <w:color w:val="auto"/>
              </w:rPr>
            </w:pPr>
          </w:p>
        </w:tc>
        <w:tc>
          <w:tcPr>
            <w:tcW w:w="760" w:type="dxa"/>
            <w:vAlign w:val="bottom"/>
            <w:shd w:val="clear" w:color="auto" w:fill="202124"/>
          </w:tcPr>
          <w:p>
            <w:pPr>
              <w:jc w:val="center"/>
              <w:ind w:right="17"/>
              <w:spacing w:after="0"/>
              <w:rPr>
                <w:sz w:val="20"/>
                <w:szCs w:val="20"/>
                <w:color w:val="auto"/>
              </w:rPr>
            </w:pPr>
            <w:r>
              <w:rPr>
                <w:rFonts w:ascii="Arial" w:cs="Arial" w:eastAsia="Arial" w:hAnsi="Arial"/>
                <w:sz w:val="13"/>
                <w:szCs w:val="13"/>
                <w:b w:val="1"/>
                <w:bCs w:val="1"/>
                <w:color w:val="FFFFFF"/>
                <w:w w:val="96"/>
              </w:rPr>
              <w:t>in Last FY</w:t>
            </w:r>
          </w:p>
        </w:tc>
        <w:tc>
          <w:tcPr>
            <w:tcW w:w="1000" w:type="dxa"/>
            <w:vAlign w:val="bottom"/>
            <w:shd w:val="clear" w:color="auto" w:fill="202124"/>
          </w:tcPr>
          <w:p>
            <w:pPr>
              <w:jc w:val="center"/>
              <w:spacing w:after="0"/>
              <w:rPr>
                <w:sz w:val="20"/>
                <w:szCs w:val="20"/>
                <w:color w:val="auto"/>
              </w:rPr>
            </w:pPr>
            <w:r>
              <w:rPr>
                <w:rFonts w:ascii="Arial" w:cs="Arial" w:eastAsia="Arial" w:hAnsi="Arial"/>
                <w:sz w:val="13"/>
                <w:szCs w:val="13"/>
                <w:b w:val="1"/>
                <w:bCs w:val="1"/>
                <w:color w:val="FFFFFF"/>
                <w:w w:val="96"/>
              </w:rPr>
              <w:t>in Last FY</w:t>
            </w:r>
          </w:p>
        </w:tc>
        <w:tc>
          <w:tcPr>
            <w:tcW w:w="1160" w:type="dxa"/>
            <w:vAlign w:val="bottom"/>
            <w:shd w:val="clear" w:color="auto" w:fill="202124"/>
          </w:tcPr>
          <w:p>
            <w:pPr>
              <w:jc w:val="center"/>
              <w:spacing w:after="0"/>
              <w:rPr>
                <w:sz w:val="20"/>
                <w:szCs w:val="20"/>
                <w:color w:val="auto"/>
              </w:rPr>
            </w:pPr>
            <w:r>
              <w:rPr>
                <w:rFonts w:ascii="Arial" w:cs="Arial" w:eastAsia="Arial" w:hAnsi="Arial"/>
                <w:sz w:val="13"/>
                <w:szCs w:val="13"/>
                <w:b w:val="1"/>
                <w:bCs w:val="1"/>
                <w:color w:val="FFFFFF"/>
                <w:w w:val="96"/>
              </w:rPr>
              <w:t>in Last FY</w:t>
            </w:r>
          </w:p>
        </w:tc>
        <w:tc>
          <w:tcPr>
            <w:tcW w:w="940" w:type="dxa"/>
            <w:vAlign w:val="bottom"/>
            <w:shd w:val="clear" w:color="auto" w:fill="202124"/>
          </w:tcPr>
          <w:p>
            <w:pPr>
              <w:jc w:val="center"/>
              <w:spacing w:after="0"/>
              <w:rPr>
                <w:sz w:val="20"/>
                <w:szCs w:val="20"/>
                <w:color w:val="auto"/>
              </w:rPr>
            </w:pPr>
            <w:r>
              <w:rPr>
                <w:rFonts w:ascii="Arial" w:cs="Arial" w:eastAsia="Arial" w:hAnsi="Arial"/>
                <w:sz w:val="13"/>
                <w:szCs w:val="13"/>
                <w:b w:val="1"/>
                <w:bCs w:val="1"/>
                <w:color w:val="FFFFFF"/>
                <w:w w:val="97"/>
              </w:rPr>
              <w:t>Distributions</w:t>
            </w:r>
          </w:p>
        </w:tc>
        <w:tc>
          <w:tcPr>
            <w:tcW w:w="780" w:type="dxa"/>
            <w:vAlign w:val="bottom"/>
            <w:shd w:val="clear" w:color="auto" w:fill="202124"/>
          </w:tcPr>
          <w:p>
            <w:pPr>
              <w:jc w:val="center"/>
              <w:ind w:left="57"/>
              <w:spacing w:after="0"/>
              <w:rPr>
                <w:sz w:val="20"/>
                <w:szCs w:val="20"/>
                <w:color w:val="auto"/>
              </w:rPr>
            </w:pPr>
            <w:r>
              <w:rPr>
                <w:rFonts w:ascii="Arial" w:cs="Arial" w:eastAsia="Arial" w:hAnsi="Arial"/>
                <w:sz w:val="13"/>
                <w:szCs w:val="13"/>
                <w:b w:val="1"/>
                <w:bCs w:val="1"/>
                <w:color w:val="FFFFFF"/>
                <w:w w:val="96"/>
              </w:rPr>
              <w:t>Last FYE</w:t>
            </w:r>
          </w:p>
        </w:tc>
      </w:tr>
      <w:tr>
        <w:trPr>
          <w:trHeight w:val="148"/>
        </w:trPr>
        <w:tc>
          <w:tcPr>
            <w:tcW w:w="4860" w:type="dxa"/>
            <w:vAlign w:val="bottom"/>
            <w:shd w:val="clear" w:color="auto" w:fill="202124"/>
          </w:tcPr>
          <w:p>
            <w:pPr>
              <w:spacing w:after="0"/>
              <w:rPr>
                <w:sz w:val="20"/>
                <w:szCs w:val="20"/>
                <w:color w:val="auto"/>
              </w:rPr>
            </w:pPr>
            <w:r>
              <w:rPr>
                <w:rFonts w:ascii="Arial" w:cs="Arial" w:eastAsia="Arial" w:hAnsi="Arial"/>
                <w:sz w:val="13"/>
                <w:szCs w:val="13"/>
                <w:b w:val="1"/>
                <w:bCs w:val="1"/>
                <w:color w:val="FFFFFF"/>
              </w:rPr>
              <w:t>Name</w:t>
            </w:r>
          </w:p>
        </w:tc>
        <w:tc>
          <w:tcPr>
            <w:tcW w:w="220" w:type="dxa"/>
            <w:vAlign w:val="bottom"/>
            <w:shd w:val="clear" w:color="auto" w:fill="202124"/>
          </w:tcPr>
          <w:p>
            <w:pPr>
              <w:spacing w:after="0"/>
              <w:rPr>
                <w:sz w:val="12"/>
                <w:szCs w:val="12"/>
                <w:color w:val="auto"/>
              </w:rPr>
            </w:pPr>
          </w:p>
        </w:tc>
        <w:tc>
          <w:tcPr>
            <w:tcW w:w="760" w:type="dxa"/>
            <w:vAlign w:val="bottom"/>
            <w:shd w:val="clear" w:color="auto" w:fill="202124"/>
          </w:tcPr>
          <w:p>
            <w:pPr>
              <w:jc w:val="center"/>
              <w:ind w:right="37"/>
              <w:spacing w:after="0"/>
              <w:rPr>
                <w:sz w:val="20"/>
                <w:szCs w:val="20"/>
                <w:color w:val="auto"/>
              </w:rPr>
            </w:pPr>
            <w:r>
              <w:rPr>
                <w:rFonts w:ascii="Arial" w:cs="Arial" w:eastAsia="Arial" w:hAnsi="Arial"/>
                <w:sz w:val="13"/>
                <w:szCs w:val="13"/>
                <w:b w:val="1"/>
                <w:bCs w:val="1"/>
                <w:color w:val="FFFFFF"/>
                <w:w w:val="95"/>
              </w:rPr>
              <w:t>($) (1)</w:t>
            </w:r>
          </w:p>
        </w:tc>
        <w:tc>
          <w:tcPr>
            <w:tcW w:w="1000" w:type="dxa"/>
            <w:vAlign w:val="bottom"/>
            <w:shd w:val="clear" w:color="auto" w:fill="202124"/>
          </w:tcPr>
          <w:p>
            <w:pPr>
              <w:jc w:val="center"/>
              <w:ind w:left="37"/>
              <w:spacing w:after="0"/>
              <w:rPr>
                <w:sz w:val="20"/>
                <w:szCs w:val="20"/>
                <w:color w:val="auto"/>
              </w:rPr>
            </w:pPr>
            <w:r>
              <w:rPr>
                <w:rFonts w:ascii="Arial" w:cs="Arial" w:eastAsia="Arial" w:hAnsi="Arial"/>
                <w:sz w:val="13"/>
                <w:szCs w:val="13"/>
                <w:b w:val="1"/>
                <w:bCs w:val="1"/>
                <w:color w:val="FFFFFF"/>
                <w:w w:val="95"/>
              </w:rPr>
              <w:t>($) (2)</w:t>
            </w:r>
          </w:p>
        </w:tc>
        <w:tc>
          <w:tcPr>
            <w:tcW w:w="1160" w:type="dxa"/>
            <w:vAlign w:val="bottom"/>
            <w:shd w:val="clear" w:color="auto" w:fill="202124"/>
          </w:tcPr>
          <w:p>
            <w:pPr>
              <w:jc w:val="center"/>
              <w:spacing w:after="0"/>
              <w:rPr>
                <w:sz w:val="20"/>
                <w:szCs w:val="20"/>
                <w:color w:val="auto"/>
              </w:rPr>
            </w:pPr>
            <w:r>
              <w:rPr>
                <w:rFonts w:ascii="Arial" w:cs="Arial" w:eastAsia="Arial" w:hAnsi="Arial"/>
                <w:sz w:val="13"/>
                <w:szCs w:val="13"/>
                <w:b w:val="1"/>
                <w:bCs w:val="1"/>
                <w:color w:val="FFFFFF"/>
                <w:w w:val="95"/>
              </w:rPr>
              <w:t>($) (3)</w:t>
            </w:r>
          </w:p>
        </w:tc>
        <w:tc>
          <w:tcPr>
            <w:tcW w:w="940" w:type="dxa"/>
            <w:vAlign w:val="bottom"/>
            <w:shd w:val="clear" w:color="auto" w:fill="202124"/>
          </w:tcPr>
          <w:p>
            <w:pPr>
              <w:jc w:val="center"/>
              <w:ind w:left="17"/>
              <w:spacing w:after="0"/>
              <w:rPr>
                <w:sz w:val="20"/>
                <w:szCs w:val="20"/>
                <w:color w:val="auto"/>
              </w:rPr>
            </w:pPr>
            <w:r>
              <w:rPr>
                <w:rFonts w:ascii="Arial" w:cs="Arial" w:eastAsia="Arial" w:hAnsi="Arial"/>
                <w:sz w:val="13"/>
                <w:szCs w:val="13"/>
                <w:b w:val="1"/>
                <w:bCs w:val="1"/>
                <w:color w:val="FFFFFF"/>
                <w:w w:val="87"/>
              </w:rPr>
              <w:t>($)</w:t>
            </w:r>
          </w:p>
        </w:tc>
        <w:tc>
          <w:tcPr>
            <w:tcW w:w="780" w:type="dxa"/>
            <w:vAlign w:val="bottom"/>
            <w:shd w:val="clear" w:color="auto" w:fill="202124"/>
          </w:tcPr>
          <w:p>
            <w:pPr>
              <w:jc w:val="center"/>
              <w:ind w:left="37"/>
              <w:spacing w:after="0"/>
              <w:rPr>
                <w:sz w:val="20"/>
                <w:szCs w:val="20"/>
                <w:color w:val="auto"/>
              </w:rPr>
            </w:pPr>
            <w:r>
              <w:rPr>
                <w:rFonts w:ascii="Arial" w:cs="Arial" w:eastAsia="Arial" w:hAnsi="Arial"/>
                <w:sz w:val="13"/>
                <w:szCs w:val="13"/>
                <w:b w:val="1"/>
                <w:bCs w:val="1"/>
                <w:color w:val="FFFFFF"/>
              </w:rPr>
              <w:t>($)</w:t>
            </w:r>
          </w:p>
        </w:tc>
      </w:tr>
      <w:tr>
        <w:trPr>
          <w:trHeight w:val="175"/>
        </w:trPr>
        <w:tc>
          <w:tcPr>
            <w:tcW w:w="508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Philip B. Daniele, III</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230,621</w:t>
            </w:r>
          </w:p>
        </w:tc>
        <w:tc>
          <w:tcPr>
            <w:tcW w:w="1000" w:type="dxa"/>
            <w:vAlign w:val="bottom"/>
            <w:tcBorders>
              <w:bottom w:val="single" w:sz="8" w:color="808080"/>
            </w:tcBorders>
          </w:tcPr>
          <w:p>
            <w:pPr>
              <w:jc w:val="right"/>
              <w:ind w:right="37"/>
              <w:spacing w:after="0"/>
              <w:rPr>
                <w:sz w:val="20"/>
                <w:szCs w:val="20"/>
                <w:color w:val="auto"/>
              </w:rPr>
            </w:pPr>
            <w:r>
              <w:rPr>
                <w:rFonts w:ascii="Arial" w:cs="Arial" w:eastAsia="Arial" w:hAnsi="Arial"/>
                <w:sz w:val="13"/>
                <w:szCs w:val="13"/>
                <w:color w:val="202124"/>
              </w:rPr>
              <w:t>77,541</w:t>
            </w:r>
          </w:p>
        </w:tc>
        <w:tc>
          <w:tcPr>
            <w:tcW w:w="1160" w:type="dxa"/>
            <w:vAlign w:val="bottom"/>
            <w:tcBorders>
              <w:bottom w:val="single" w:sz="8" w:color="808080"/>
            </w:tcBorders>
          </w:tcPr>
          <w:p>
            <w:pPr>
              <w:jc w:val="right"/>
              <w:ind w:right="17"/>
              <w:spacing w:after="0"/>
              <w:rPr>
                <w:sz w:val="20"/>
                <w:szCs w:val="20"/>
                <w:color w:val="auto"/>
              </w:rPr>
            </w:pPr>
            <w:r>
              <w:rPr>
                <w:rFonts w:ascii="Arial" w:cs="Arial" w:eastAsia="Arial" w:hAnsi="Arial"/>
                <w:sz w:val="13"/>
                <w:szCs w:val="13"/>
                <w:color w:val="202124"/>
              </w:rPr>
              <w:t>218,415</w:t>
            </w:r>
          </w:p>
        </w:tc>
        <w:tc>
          <w:tcPr>
            <w:tcW w:w="940" w:type="dxa"/>
            <w:vAlign w:val="bottom"/>
            <w:tcBorders>
              <w:bottom w:val="single" w:sz="8" w:color="808080"/>
            </w:tcBorders>
          </w:tcPr>
          <w:p>
            <w:pPr>
              <w:ind w:left="740"/>
              <w:spacing w:after="0"/>
              <w:rPr>
                <w:sz w:val="20"/>
                <w:szCs w:val="20"/>
                <w:color w:val="auto"/>
              </w:rPr>
            </w:pPr>
            <w:r>
              <w:rPr>
                <w:rFonts w:ascii="Arial" w:cs="Arial" w:eastAsia="Arial" w:hAnsi="Arial"/>
                <w:sz w:val="13"/>
                <w:szCs w:val="13"/>
                <w:color w:val="202124"/>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2,316,045</w:t>
            </w:r>
          </w:p>
        </w:tc>
      </w:tr>
      <w:tr>
        <w:trPr>
          <w:trHeight w:val="155"/>
        </w:trPr>
        <w:tc>
          <w:tcPr>
            <w:tcW w:w="508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Jamere Jackson</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80,255</w:t>
            </w:r>
          </w:p>
        </w:tc>
        <w:tc>
          <w:tcPr>
            <w:tcW w:w="1000" w:type="dxa"/>
            <w:vAlign w:val="bottom"/>
            <w:tcBorders>
              <w:bottom w:val="single" w:sz="8" w:color="808080"/>
            </w:tcBorders>
          </w:tcPr>
          <w:p>
            <w:pPr>
              <w:jc w:val="right"/>
              <w:ind w:right="37"/>
              <w:spacing w:after="0"/>
              <w:rPr>
                <w:sz w:val="20"/>
                <w:szCs w:val="20"/>
                <w:color w:val="auto"/>
              </w:rPr>
            </w:pPr>
            <w:r>
              <w:rPr>
                <w:rFonts w:ascii="Arial" w:cs="Arial" w:eastAsia="Arial" w:hAnsi="Arial"/>
                <w:sz w:val="13"/>
                <w:szCs w:val="13"/>
                <w:color w:val="202124"/>
              </w:rPr>
              <w:t>49,786</w:t>
            </w:r>
          </w:p>
        </w:tc>
        <w:tc>
          <w:tcPr>
            <w:tcW w:w="1160" w:type="dxa"/>
            <w:vAlign w:val="bottom"/>
            <w:tcBorders>
              <w:bottom w:val="single" w:sz="8" w:color="808080"/>
            </w:tcBorders>
          </w:tcPr>
          <w:p>
            <w:pPr>
              <w:jc w:val="right"/>
              <w:ind w:right="17"/>
              <w:spacing w:after="0"/>
              <w:rPr>
                <w:sz w:val="20"/>
                <w:szCs w:val="20"/>
                <w:color w:val="auto"/>
              </w:rPr>
            </w:pPr>
            <w:r>
              <w:rPr>
                <w:rFonts w:ascii="Arial" w:cs="Arial" w:eastAsia="Arial" w:hAnsi="Arial"/>
                <w:sz w:val="13"/>
                <w:szCs w:val="13"/>
                <w:color w:val="202124"/>
              </w:rPr>
              <w:t>136,992</w:t>
            </w:r>
          </w:p>
        </w:tc>
        <w:tc>
          <w:tcPr>
            <w:tcW w:w="940" w:type="dxa"/>
            <w:vAlign w:val="bottom"/>
            <w:tcBorders>
              <w:bottom w:val="single" w:sz="8" w:color="808080"/>
            </w:tcBorders>
          </w:tcPr>
          <w:p>
            <w:pPr>
              <w:ind w:left="740"/>
              <w:spacing w:after="0"/>
              <w:rPr>
                <w:sz w:val="20"/>
                <w:szCs w:val="20"/>
                <w:color w:val="auto"/>
              </w:rPr>
            </w:pPr>
            <w:r>
              <w:rPr>
                <w:rFonts w:ascii="Arial" w:cs="Arial" w:eastAsia="Arial" w:hAnsi="Arial"/>
                <w:sz w:val="13"/>
                <w:szCs w:val="13"/>
                <w:color w:val="202124"/>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1,022,845</w:t>
            </w:r>
          </w:p>
        </w:tc>
      </w:tr>
      <w:tr>
        <w:trPr>
          <w:trHeight w:val="155"/>
        </w:trPr>
        <w:tc>
          <w:tcPr>
            <w:tcW w:w="508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Thomas B. Newbern</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321,022</w:t>
            </w:r>
          </w:p>
        </w:tc>
        <w:tc>
          <w:tcPr>
            <w:tcW w:w="1000" w:type="dxa"/>
            <w:vAlign w:val="bottom"/>
            <w:tcBorders>
              <w:bottom w:val="single" w:sz="8" w:color="808080"/>
            </w:tcBorders>
          </w:tcPr>
          <w:p>
            <w:pPr>
              <w:jc w:val="right"/>
              <w:ind w:right="37"/>
              <w:spacing w:after="0"/>
              <w:rPr>
                <w:sz w:val="20"/>
                <w:szCs w:val="20"/>
                <w:color w:val="auto"/>
              </w:rPr>
            </w:pPr>
            <w:r>
              <w:rPr>
                <w:rFonts w:ascii="Arial" w:cs="Arial" w:eastAsia="Arial" w:hAnsi="Arial"/>
                <w:sz w:val="13"/>
                <w:szCs w:val="13"/>
                <w:color w:val="202124"/>
              </w:rPr>
              <w:t>49,786</w:t>
            </w:r>
          </w:p>
        </w:tc>
        <w:tc>
          <w:tcPr>
            <w:tcW w:w="1160" w:type="dxa"/>
            <w:vAlign w:val="bottom"/>
            <w:tcBorders>
              <w:bottom w:val="single" w:sz="8" w:color="808080"/>
            </w:tcBorders>
          </w:tcPr>
          <w:p>
            <w:pPr>
              <w:jc w:val="right"/>
              <w:ind w:right="17"/>
              <w:spacing w:after="0"/>
              <w:rPr>
                <w:sz w:val="20"/>
                <w:szCs w:val="20"/>
                <w:color w:val="auto"/>
              </w:rPr>
            </w:pPr>
            <w:r>
              <w:rPr>
                <w:rFonts w:ascii="Arial" w:cs="Arial" w:eastAsia="Arial" w:hAnsi="Arial"/>
                <w:sz w:val="13"/>
                <w:szCs w:val="13"/>
                <w:color w:val="202124"/>
              </w:rPr>
              <w:t>328,306</w:t>
            </w:r>
          </w:p>
        </w:tc>
        <w:tc>
          <w:tcPr>
            <w:tcW w:w="940" w:type="dxa"/>
            <w:vAlign w:val="bottom"/>
            <w:tcBorders>
              <w:bottom w:val="single" w:sz="8" w:color="808080"/>
            </w:tcBorders>
          </w:tcPr>
          <w:p>
            <w:pPr>
              <w:ind w:left="520"/>
              <w:spacing w:after="0"/>
              <w:rPr>
                <w:sz w:val="20"/>
                <w:szCs w:val="20"/>
                <w:color w:val="auto"/>
              </w:rPr>
            </w:pPr>
            <w:r>
              <w:rPr>
                <w:rFonts w:ascii="Arial" w:cs="Arial" w:eastAsia="Arial" w:hAnsi="Arial"/>
                <w:sz w:val="13"/>
                <w:szCs w:val="13"/>
                <w:color w:val="202124"/>
                <w:w w:val="97"/>
              </w:rPr>
              <w:t>(2,418)</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3,227,309</w:t>
            </w:r>
          </w:p>
        </w:tc>
      </w:tr>
      <w:tr>
        <w:trPr>
          <w:trHeight w:val="156"/>
        </w:trPr>
        <w:tc>
          <w:tcPr>
            <w:tcW w:w="5080" w:type="dxa"/>
            <w:vAlign w:val="bottom"/>
            <w:tcBorders>
              <w:bottom w:val="single" w:sz="8" w:color="808080"/>
            </w:tcBorders>
            <w:gridSpan w:val="2"/>
          </w:tcPr>
          <w:p>
            <w:pPr>
              <w:spacing w:after="0"/>
              <w:rPr>
                <w:sz w:val="20"/>
                <w:szCs w:val="20"/>
                <w:color w:val="auto"/>
              </w:rPr>
            </w:pPr>
            <w:r>
              <w:rPr>
                <w:rFonts w:ascii="Arial" w:cs="Arial" w:eastAsia="Arial" w:hAnsi="Arial"/>
                <w:sz w:val="13"/>
                <w:szCs w:val="13"/>
                <w:b w:val="1"/>
                <w:bCs w:val="1"/>
                <w:color w:val="F37F00"/>
              </w:rPr>
              <w:t>Eric S. Gould</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219,921</w:t>
            </w:r>
          </w:p>
        </w:tc>
        <w:tc>
          <w:tcPr>
            <w:tcW w:w="1000" w:type="dxa"/>
            <w:vAlign w:val="bottom"/>
            <w:tcBorders>
              <w:bottom w:val="single" w:sz="8" w:color="808080"/>
            </w:tcBorders>
          </w:tcPr>
          <w:p>
            <w:pPr>
              <w:jc w:val="right"/>
              <w:ind w:right="37"/>
              <w:spacing w:after="0"/>
              <w:rPr>
                <w:sz w:val="20"/>
                <w:szCs w:val="20"/>
                <w:color w:val="auto"/>
              </w:rPr>
            </w:pPr>
            <w:r>
              <w:rPr>
                <w:rFonts w:ascii="Arial" w:cs="Arial" w:eastAsia="Arial" w:hAnsi="Arial"/>
                <w:sz w:val="13"/>
                <w:szCs w:val="13"/>
                <w:color w:val="202124"/>
              </w:rPr>
              <w:t>14,376</w:t>
            </w:r>
          </w:p>
        </w:tc>
        <w:tc>
          <w:tcPr>
            <w:tcW w:w="1160" w:type="dxa"/>
            <w:vAlign w:val="bottom"/>
            <w:tcBorders>
              <w:bottom w:val="single" w:sz="8" w:color="808080"/>
            </w:tcBorders>
          </w:tcPr>
          <w:p>
            <w:pPr>
              <w:jc w:val="right"/>
              <w:ind w:right="17"/>
              <w:spacing w:after="0"/>
              <w:rPr>
                <w:sz w:val="20"/>
                <w:szCs w:val="20"/>
                <w:color w:val="auto"/>
              </w:rPr>
            </w:pPr>
            <w:r>
              <w:rPr>
                <w:rFonts w:ascii="Arial" w:cs="Arial" w:eastAsia="Arial" w:hAnsi="Arial"/>
                <w:sz w:val="13"/>
                <w:szCs w:val="13"/>
                <w:color w:val="202124"/>
              </w:rPr>
              <w:t>404,187</w:t>
            </w:r>
          </w:p>
        </w:tc>
        <w:tc>
          <w:tcPr>
            <w:tcW w:w="940" w:type="dxa"/>
            <w:vAlign w:val="bottom"/>
            <w:tcBorders>
              <w:bottom w:val="single" w:sz="8" w:color="808080"/>
            </w:tcBorders>
          </w:tcPr>
          <w:p>
            <w:pPr>
              <w:ind w:left="740"/>
              <w:spacing w:after="0"/>
              <w:rPr>
                <w:sz w:val="20"/>
                <w:szCs w:val="20"/>
                <w:color w:val="auto"/>
              </w:rPr>
            </w:pPr>
            <w:r>
              <w:rPr>
                <w:rFonts w:ascii="Arial" w:cs="Arial" w:eastAsia="Arial" w:hAnsi="Arial"/>
                <w:sz w:val="13"/>
                <w:szCs w:val="13"/>
                <w:color w:val="202124"/>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02124"/>
              </w:rPr>
              <w:t>3,856,535</w:t>
            </w:r>
          </w:p>
        </w:tc>
      </w:tr>
      <w:tr>
        <w:trPr>
          <w:trHeight w:val="176"/>
        </w:trPr>
        <w:tc>
          <w:tcPr>
            <w:tcW w:w="5080" w:type="dxa"/>
            <w:vAlign w:val="bottom"/>
            <w:tcBorders>
              <w:bottom w:val="single" w:sz="8" w:color="202124"/>
            </w:tcBorders>
            <w:gridSpan w:val="2"/>
          </w:tcPr>
          <w:p>
            <w:pPr>
              <w:spacing w:after="0"/>
              <w:rPr>
                <w:sz w:val="20"/>
                <w:szCs w:val="20"/>
                <w:color w:val="auto"/>
              </w:rPr>
            </w:pPr>
            <w:r>
              <w:rPr>
                <w:rFonts w:ascii="Arial" w:cs="Arial" w:eastAsia="Arial" w:hAnsi="Arial"/>
                <w:sz w:val="13"/>
                <w:szCs w:val="13"/>
                <w:b w:val="1"/>
                <w:bCs w:val="1"/>
                <w:color w:val="F37F00"/>
              </w:rPr>
              <w:t>Kenneth E. Jaycox, Jr.</w:t>
            </w:r>
          </w:p>
        </w:tc>
        <w:tc>
          <w:tcPr>
            <w:tcW w:w="760" w:type="dxa"/>
            <w:vAlign w:val="bottom"/>
            <w:tcBorders>
              <w:bottom w:val="single" w:sz="8" w:color="202124"/>
            </w:tcBorders>
          </w:tcPr>
          <w:p>
            <w:pPr>
              <w:jc w:val="right"/>
              <w:spacing w:after="0"/>
              <w:rPr>
                <w:sz w:val="20"/>
                <w:szCs w:val="20"/>
                <w:color w:val="auto"/>
              </w:rPr>
            </w:pPr>
            <w:r>
              <w:rPr>
                <w:rFonts w:ascii="Arial" w:cs="Arial" w:eastAsia="Arial" w:hAnsi="Arial"/>
                <w:sz w:val="13"/>
                <w:szCs w:val="13"/>
                <w:color w:val="202124"/>
              </w:rPr>
              <w:t>91,297</w:t>
            </w:r>
          </w:p>
        </w:tc>
        <w:tc>
          <w:tcPr>
            <w:tcW w:w="1000" w:type="dxa"/>
            <w:vAlign w:val="bottom"/>
            <w:tcBorders>
              <w:bottom w:val="single" w:sz="8" w:color="202124"/>
            </w:tcBorders>
          </w:tcPr>
          <w:p>
            <w:pPr>
              <w:jc w:val="right"/>
              <w:ind w:right="37"/>
              <w:spacing w:after="0"/>
              <w:rPr>
                <w:sz w:val="20"/>
                <w:szCs w:val="20"/>
                <w:color w:val="auto"/>
              </w:rPr>
            </w:pPr>
            <w:r>
              <w:rPr>
                <w:rFonts w:ascii="Arial" w:cs="Arial" w:eastAsia="Arial" w:hAnsi="Arial"/>
                <w:sz w:val="13"/>
                <w:szCs w:val="13"/>
                <w:color w:val="202124"/>
              </w:rPr>
              <w:t>17,672</w:t>
            </w:r>
          </w:p>
        </w:tc>
        <w:tc>
          <w:tcPr>
            <w:tcW w:w="1160" w:type="dxa"/>
            <w:vAlign w:val="bottom"/>
            <w:tcBorders>
              <w:bottom w:val="single" w:sz="8" w:color="202124"/>
            </w:tcBorders>
          </w:tcPr>
          <w:p>
            <w:pPr>
              <w:jc w:val="right"/>
              <w:ind w:right="17"/>
              <w:spacing w:after="0"/>
              <w:rPr>
                <w:sz w:val="20"/>
                <w:szCs w:val="20"/>
                <w:color w:val="auto"/>
              </w:rPr>
            </w:pPr>
            <w:r>
              <w:rPr>
                <w:rFonts w:ascii="Arial" w:cs="Arial" w:eastAsia="Arial" w:hAnsi="Arial"/>
                <w:sz w:val="13"/>
                <w:szCs w:val="13"/>
                <w:color w:val="202124"/>
              </w:rPr>
              <w:t>17,841</w:t>
            </w:r>
          </w:p>
        </w:tc>
        <w:tc>
          <w:tcPr>
            <w:tcW w:w="940" w:type="dxa"/>
            <w:vAlign w:val="bottom"/>
            <w:tcBorders>
              <w:bottom w:val="single" w:sz="8" w:color="202124"/>
            </w:tcBorders>
          </w:tcPr>
          <w:p>
            <w:pPr>
              <w:ind w:left="740"/>
              <w:spacing w:after="0"/>
              <w:rPr>
                <w:sz w:val="20"/>
                <w:szCs w:val="20"/>
                <w:color w:val="auto"/>
              </w:rPr>
            </w:pPr>
            <w:r>
              <w:rPr>
                <w:rFonts w:ascii="Arial" w:cs="Arial" w:eastAsia="Arial" w:hAnsi="Arial"/>
                <w:sz w:val="13"/>
                <w:szCs w:val="13"/>
                <w:color w:val="202124"/>
              </w:rPr>
              <w:t>—</w:t>
            </w:r>
          </w:p>
        </w:tc>
        <w:tc>
          <w:tcPr>
            <w:tcW w:w="780" w:type="dxa"/>
            <w:vAlign w:val="bottom"/>
            <w:tcBorders>
              <w:bottom w:val="single" w:sz="8" w:color="202124"/>
            </w:tcBorders>
          </w:tcPr>
          <w:p>
            <w:pPr>
              <w:jc w:val="right"/>
              <w:spacing w:after="0"/>
              <w:rPr>
                <w:sz w:val="20"/>
                <w:szCs w:val="20"/>
                <w:color w:val="auto"/>
              </w:rPr>
            </w:pPr>
            <w:r>
              <w:rPr>
                <w:rFonts w:ascii="Arial" w:cs="Arial" w:eastAsia="Arial" w:hAnsi="Arial"/>
                <w:sz w:val="13"/>
                <w:szCs w:val="13"/>
                <w:color w:val="202124"/>
              </w:rPr>
              <w:t>144,661</w:t>
            </w:r>
          </w:p>
        </w:tc>
      </w:tr>
    </w:tbl>
    <w:p>
      <w:pPr>
        <w:spacing w:after="0" w:line="53" w:lineRule="exact"/>
        <w:rPr>
          <w:sz w:val="20"/>
          <w:szCs w:val="20"/>
          <w:color w:val="auto"/>
        </w:rPr>
      </w:pPr>
    </w:p>
    <w:p>
      <w:pPr>
        <w:ind w:left="960" w:right="120" w:hanging="316"/>
        <w:spacing w:after="0" w:line="220" w:lineRule="auto"/>
        <w:tabs>
          <w:tab w:leader="none" w:pos="960" w:val="left"/>
        </w:tabs>
        <w:numPr>
          <w:ilvl w:val="0"/>
          <w:numId w:val="96"/>
        </w:numPr>
        <w:rPr>
          <w:rFonts w:ascii="Arial" w:cs="Arial" w:eastAsia="Arial" w:hAnsi="Arial"/>
          <w:sz w:val="24"/>
          <w:szCs w:val="24"/>
          <w:color w:val="202124"/>
          <w:vertAlign w:val="superscript"/>
        </w:rPr>
      </w:pPr>
      <w:r>
        <w:rPr>
          <w:rFonts w:ascii="Arial" w:cs="Arial" w:eastAsia="Arial" w:hAnsi="Arial"/>
          <w:sz w:val="16"/>
          <w:szCs w:val="16"/>
          <w:color w:val="202124"/>
        </w:rPr>
        <w:t>Represents contributions by the NEOs under the AutoZone, Inc. Executive Deferred Compensation Plan (the “EDCP”). Such contributions are included under the appropriate “Salary” and “Non-Equity Incentive Plan Compensation” columns for the NEOs in the Summary Compensation Table.</w:t>
      </w:r>
    </w:p>
    <w:p>
      <w:pPr>
        <w:spacing w:after="0" w:line="17" w:lineRule="exact"/>
        <w:rPr>
          <w:rFonts w:ascii="Arial" w:cs="Arial" w:eastAsia="Arial" w:hAnsi="Arial"/>
          <w:sz w:val="24"/>
          <w:szCs w:val="24"/>
          <w:color w:val="202124"/>
          <w:vertAlign w:val="superscript"/>
        </w:rPr>
      </w:pPr>
    </w:p>
    <w:p>
      <w:pPr>
        <w:ind w:left="960" w:right="660" w:hanging="316"/>
        <w:spacing w:after="0" w:line="210" w:lineRule="auto"/>
        <w:tabs>
          <w:tab w:leader="none" w:pos="960" w:val="left"/>
        </w:tabs>
        <w:numPr>
          <w:ilvl w:val="0"/>
          <w:numId w:val="96"/>
        </w:numPr>
        <w:rPr>
          <w:rFonts w:ascii="Arial" w:cs="Arial" w:eastAsia="Arial" w:hAnsi="Arial"/>
          <w:sz w:val="24"/>
          <w:szCs w:val="24"/>
          <w:color w:val="202124"/>
          <w:vertAlign w:val="superscript"/>
        </w:rPr>
      </w:pPr>
      <w:r>
        <w:rPr>
          <w:rFonts w:ascii="Arial" w:cs="Arial" w:eastAsia="Arial" w:hAnsi="Arial"/>
          <w:sz w:val="16"/>
          <w:szCs w:val="16"/>
          <w:color w:val="202124"/>
        </w:rPr>
        <w:t>Represents matching contributions by the Company under the EDCP. Such contributions are included under the “All Other Compensation” column for the NEOs in the Summary Compensation Table.</w:t>
      </w:r>
    </w:p>
    <w:p>
      <w:pPr>
        <w:spacing w:after="0" w:line="16" w:lineRule="exact"/>
        <w:rPr>
          <w:rFonts w:ascii="Arial" w:cs="Arial" w:eastAsia="Arial" w:hAnsi="Arial"/>
          <w:sz w:val="24"/>
          <w:szCs w:val="24"/>
          <w:color w:val="202124"/>
          <w:vertAlign w:val="superscript"/>
        </w:rPr>
      </w:pPr>
    </w:p>
    <w:p>
      <w:pPr>
        <w:ind w:left="960" w:right="140" w:hanging="316"/>
        <w:spacing w:after="0" w:line="226" w:lineRule="auto"/>
        <w:tabs>
          <w:tab w:leader="none" w:pos="960" w:val="left"/>
        </w:tabs>
        <w:numPr>
          <w:ilvl w:val="0"/>
          <w:numId w:val="96"/>
        </w:numPr>
        <w:rPr>
          <w:rFonts w:ascii="Arial" w:cs="Arial" w:eastAsia="Arial" w:hAnsi="Arial"/>
          <w:sz w:val="24"/>
          <w:szCs w:val="24"/>
          <w:color w:val="202124"/>
          <w:vertAlign w:val="superscript"/>
        </w:rPr>
      </w:pPr>
      <w:r>
        <w:rPr>
          <w:rFonts w:ascii="Arial" w:cs="Arial" w:eastAsia="Arial" w:hAnsi="Arial"/>
          <w:sz w:val="16"/>
          <w:szCs w:val="16"/>
          <w:color w:val="202124"/>
        </w:rPr>
        <w:t>Represents the difference between the aggregate balance at end of fiscal 2026 and 2025, excluding (i) contributions made by the executive officer and the Company during fiscal 2026 and (ii) any withdrawals or distributions during fiscal 2026. None of the earnings/losses in this column were included in the Summary Compensation Table because they were not preferential or above market.</w:t>
      </w:r>
    </w:p>
    <w:p>
      <w:pPr>
        <w:spacing w:after="0" w:line="2" w:lineRule="exact"/>
        <w:rPr>
          <w:sz w:val="20"/>
          <w:szCs w:val="20"/>
          <w:color w:val="auto"/>
        </w:rPr>
      </w:pPr>
    </w:p>
    <w:p>
      <w:pPr>
        <w:ind w:left="640"/>
        <w:spacing w:after="0" w:line="237" w:lineRule="auto"/>
        <w:rPr>
          <w:sz w:val="20"/>
          <w:szCs w:val="20"/>
          <w:color w:val="auto"/>
        </w:rPr>
      </w:pPr>
      <w:r>
        <w:rPr>
          <w:rFonts w:ascii="Arial" w:cs="Arial" w:eastAsia="Arial" w:hAnsi="Arial"/>
          <w:sz w:val="18"/>
          <w:szCs w:val="18"/>
          <w:color w:val="202124"/>
        </w:rPr>
        <w:t>Officers of the Company with the title of vice president or higher based in the United States are eligible to participate in the EDCP. As of August 29, 2026, there were 61 such officers of the Company. The EDCP is a nonqualified plan that allows officers to make a pretax deferral of base salary and bonus compensation. Officers may defer up to 25% of base salary and up to 75% of bonus compensation. The Company match is calculated based on 100% of the first 3% of deferred compensation and 50% of the next 2% deferred, less the maximum value of the Company match available generally to participants in AutoZone’s 401(k) Plan. Participants may select among various mutual funds in which to invest their deferral accounts. Participants may elect to receive distribution of their deferral accounts at retirement or starting in a specific future year of choice before or after anticipated retirement (but not later than the year in which the participant reaches age 75). If a participant’s employment with AutoZone terminates other than by retirement or death, the account balance will be paid in a lump sum payment six months after termination of employment. There are provisions in the EDCP for withdrawal of all or part of the deferral account balance in the event of an extreme and unforeseen financial hardship.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65</w:t>
            </w:r>
          </w:p>
        </w:tc>
      </w:tr>
    </w:tbl>
    <w:p>
      <w:pPr>
        <w:sectPr>
          <w:pgSz w:w="11900" w:h="16838" w:orient="portrait"/>
          <w:cols w:equalWidth="0" w:num="1">
            <w:col w:w="10360"/>
          </w:cols>
          <w:pgMar w:left="440" w:top="106" w:right="1099" w:bottom="1440" w:gutter="0" w:footer="0" w:header="0"/>
        </w:sectPr>
      </w:pPr>
    </w:p>
    <w:bookmarkStart w:id="68" w:name="page69"/>
    <w:bookmarkEnd w:id="6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right="1320"/>
        <w:spacing w:after="0" w:line="245" w:lineRule="auto"/>
        <w:rPr>
          <w:sz w:val="20"/>
          <w:szCs w:val="20"/>
          <w:color w:val="auto"/>
        </w:rPr>
      </w:pPr>
      <w:r>
        <w:rPr>
          <w:rFonts w:ascii="Arial" w:cs="Arial" w:eastAsia="Arial" w:hAnsi="Arial"/>
          <w:sz w:val="43"/>
          <w:szCs w:val="43"/>
          <w:b w:val="1"/>
          <w:bCs w:val="1"/>
          <w:color w:val="F37F00"/>
        </w:rPr>
        <w:t>Potential Payments Upon Termination Or Change In Control</w:t>
      </w:r>
    </w:p>
    <w:p>
      <w:pPr>
        <w:spacing w:after="0" w:line="14" w:lineRule="exact"/>
        <w:rPr>
          <w:sz w:val="20"/>
          <w:szCs w:val="20"/>
          <w:color w:val="auto"/>
        </w:rPr>
      </w:pPr>
    </w:p>
    <w:p>
      <w:pPr>
        <w:ind w:left="640" w:right="380"/>
        <w:spacing w:after="0" w:line="271" w:lineRule="auto"/>
        <w:rPr>
          <w:sz w:val="20"/>
          <w:szCs w:val="20"/>
          <w:color w:val="auto"/>
        </w:rPr>
      </w:pPr>
      <w:r>
        <w:rPr>
          <w:rFonts w:ascii="Arial" w:cs="Arial" w:eastAsia="Arial" w:hAnsi="Arial"/>
          <w:sz w:val="18"/>
          <w:szCs w:val="18"/>
          <w:color w:val="202124"/>
        </w:rPr>
        <w:t>Our NEOs may receive certain benefits if their employment terminates under specified circumstances. These benefits derive from Company policies, plans, agreements and arrangements described below.</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Agreement with Mr. Daniele</w:t>
      </w:r>
    </w:p>
    <w:p>
      <w:pPr>
        <w:spacing w:after="0" w:line="117" w:lineRule="exact"/>
        <w:rPr>
          <w:sz w:val="20"/>
          <w:szCs w:val="20"/>
          <w:color w:val="auto"/>
        </w:rPr>
      </w:pPr>
    </w:p>
    <w:p>
      <w:pPr>
        <w:ind w:left="640" w:right="20"/>
        <w:spacing w:after="0"/>
        <w:rPr>
          <w:sz w:val="20"/>
          <w:szCs w:val="20"/>
          <w:color w:val="auto"/>
        </w:rPr>
      </w:pPr>
      <w:r>
        <w:rPr>
          <w:rFonts w:ascii="Arial" w:cs="Arial" w:eastAsia="Arial" w:hAnsi="Arial"/>
          <w:sz w:val="18"/>
          <w:szCs w:val="18"/>
          <w:color w:val="202124"/>
        </w:rPr>
        <w:t>Mr. Daniele and AutoZone entered into an agreement (the “Agreement”) in 2024 providing that if employment is terminated by the Company without cause, he will receive severance benefits consisting of an amount equal to 2.99 times his then-current base salary, a lump sum prorated share of any unpaid annual bonus incentive for periods during which he was employed, and AutoZone will pay the cost of COBRA premiums to continue his medical, dental and vision insurance benefits for up to 18 months to the extent such premiums exceed the amount Mr. Daniele had been paying for such coverage during his employment. The Agreement further provides that Mr. Daniele will not compete with AutoZone or solicit its employees for a three-year period after his employment with AutoZone terminates.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Executive Officer Agreements (Messrs. Jackson, Newbern, Gould, and Jaycox)</w:t>
      </w:r>
    </w:p>
    <w:p>
      <w:pPr>
        <w:spacing w:after="0" w:line="117" w:lineRule="exact"/>
        <w:rPr>
          <w:sz w:val="20"/>
          <w:szCs w:val="20"/>
          <w:color w:val="auto"/>
        </w:rPr>
      </w:pPr>
    </w:p>
    <w:p>
      <w:pPr>
        <w:ind w:left="640" w:right="20"/>
        <w:spacing w:after="0" w:line="242" w:lineRule="auto"/>
        <w:rPr>
          <w:sz w:val="20"/>
          <w:szCs w:val="20"/>
          <w:color w:val="auto"/>
        </w:rPr>
      </w:pPr>
      <w:r>
        <w:rPr>
          <w:rFonts w:ascii="Arial" w:cs="Arial" w:eastAsia="Arial" w:hAnsi="Arial"/>
          <w:sz w:val="18"/>
          <w:szCs w:val="18"/>
          <w:color w:val="202124"/>
        </w:rPr>
        <w:t>AutoZone’s other executive officers including Messrs. Jackson, Newbern, Gould, and Jaycox, have entered into agreements (“Severance and Non-Compete Agreements”) with the Company providing that if their employment is involuntarily terminated without cause, and if they sign an agreement waiving certain legal rights, they will receive severance benefits in the form of salary continuation for a period of time ranging from 12 to 24 months, depending on their length of service at the time of termination. The aforementioned executives all have greater than 5 years of service, except for Mr. Jaycox, who has approximately 2.5 years of service.</w:t>
      </w:r>
    </w:p>
    <w:p>
      <w:pPr>
        <w:spacing w:after="0" w:line="10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40" w:type="dxa"/>
            <w:vAlign w:val="bottom"/>
            <w:shd w:val="clear" w:color="auto" w:fill="212322"/>
          </w:tcPr>
          <w:p>
            <w:pPr>
              <w:spacing w:after="0"/>
              <w:rPr>
                <w:sz w:val="17"/>
                <w:szCs w:val="17"/>
                <w:color w:val="auto"/>
              </w:rPr>
            </w:pPr>
          </w:p>
        </w:tc>
        <w:tc>
          <w:tcPr>
            <w:tcW w:w="2760" w:type="dxa"/>
            <w:vAlign w:val="bottom"/>
            <w:shd w:val="clear" w:color="auto" w:fill="212322"/>
          </w:tcPr>
          <w:p>
            <w:pPr>
              <w:spacing w:after="0"/>
              <w:rPr>
                <w:sz w:val="17"/>
                <w:szCs w:val="17"/>
                <w:color w:val="auto"/>
              </w:rPr>
            </w:pPr>
          </w:p>
        </w:tc>
        <w:tc>
          <w:tcPr>
            <w:tcW w:w="980" w:type="dxa"/>
            <w:vAlign w:val="bottom"/>
            <w:shd w:val="clear" w:color="auto" w:fill="212322"/>
          </w:tcPr>
          <w:p>
            <w:pPr>
              <w:jc w:val="center"/>
              <w:spacing w:after="0"/>
              <w:rPr>
                <w:sz w:val="20"/>
                <w:szCs w:val="20"/>
                <w:color w:val="auto"/>
              </w:rPr>
            </w:pPr>
            <w:r>
              <w:rPr>
                <w:rFonts w:ascii="Arial" w:cs="Arial" w:eastAsia="Arial" w:hAnsi="Arial"/>
                <w:sz w:val="18"/>
                <w:szCs w:val="18"/>
                <w:b w:val="1"/>
                <w:bCs w:val="1"/>
                <w:color w:val="FFFFFF"/>
                <w:w w:val="99"/>
              </w:rPr>
              <w:t>Severance</w:t>
            </w:r>
          </w:p>
        </w:tc>
      </w:tr>
      <w:tr>
        <w:trPr>
          <w:trHeight w:val="221"/>
        </w:trPr>
        <w:tc>
          <w:tcPr>
            <w:tcW w:w="4040" w:type="dxa"/>
            <w:vAlign w:val="bottom"/>
            <w:shd w:val="clear" w:color="auto" w:fill="212322"/>
          </w:tcPr>
          <w:p>
            <w:pPr>
              <w:spacing w:after="0"/>
              <w:rPr>
                <w:sz w:val="20"/>
                <w:szCs w:val="20"/>
                <w:color w:val="auto"/>
              </w:rPr>
            </w:pPr>
            <w:r>
              <w:rPr>
                <w:rFonts w:ascii="Arial" w:cs="Arial" w:eastAsia="Arial" w:hAnsi="Arial"/>
                <w:sz w:val="18"/>
                <w:szCs w:val="18"/>
                <w:b w:val="1"/>
                <w:bCs w:val="1"/>
                <w:color w:val="FFFFFF"/>
              </w:rPr>
              <w:t>Years of Service</w:t>
            </w:r>
          </w:p>
        </w:tc>
        <w:tc>
          <w:tcPr>
            <w:tcW w:w="3740" w:type="dxa"/>
            <w:vAlign w:val="bottom"/>
            <w:gridSpan w:val="2"/>
            <w:shd w:val="clear" w:color="auto" w:fill="212322"/>
          </w:tcPr>
          <w:p>
            <w:pPr>
              <w:ind w:left="2660"/>
              <w:spacing w:after="0"/>
              <w:rPr>
                <w:sz w:val="20"/>
                <w:szCs w:val="20"/>
                <w:color w:val="auto"/>
              </w:rPr>
            </w:pPr>
            <w:r>
              <w:rPr>
                <w:rFonts w:ascii="Arial" w:cs="Arial" w:eastAsia="Arial" w:hAnsi="Arial"/>
                <w:sz w:val="18"/>
                <w:szCs w:val="18"/>
                <w:b w:val="1"/>
                <w:bCs w:val="1"/>
                <w:color w:val="FFFFFF"/>
              </w:rPr>
              <w:t>​​​  Period</w:t>
            </w:r>
          </w:p>
        </w:tc>
      </w:tr>
      <w:tr>
        <w:trPr>
          <w:trHeight w:val="234"/>
        </w:trPr>
        <w:tc>
          <w:tcPr>
            <w:tcW w:w="404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Less than 1</w:t>
            </w:r>
          </w:p>
        </w:tc>
        <w:tc>
          <w:tcPr>
            <w:tcW w:w="2760" w:type="dxa"/>
            <w:vAlign w:val="bottom"/>
            <w:tcBorders>
              <w:bottom w:val="single" w:sz="8" w:color="808080"/>
            </w:tcBorders>
          </w:tcPr>
          <w:p>
            <w:pPr>
              <w:spacing w:after="0"/>
              <w:rPr>
                <w:sz w:val="20"/>
                <w:szCs w:val="20"/>
                <w:color w:val="auto"/>
              </w:rPr>
            </w:pPr>
          </w:p>
        </w:tc>
        <w:tc>
          <w:tcPr>
            <w:tcW w:w="980" w:type="dxa"/>
            <w:vAlign w:val="bottom"/>
            <w:tcBorders>
              <w:top w:val="single" w:sz="8" w:color="auto"/>
              <w:bottom w:val="single" w:sz="8" w:color="808080"/>
            </w:tcBorders>
          </w:tcPr>
          <w:p>
            <w:pPr>
              <w:jc w:val="center"/>
              <w:spacing w:after="0"/>
              <w:rPr>
                <w:sz w:val="20"/>
                <w:szCs w:val="20"/>
                <w:color w:val="auto"/>
              </w:rPr>
            </w:pPr>
            <w:r>
              <w:rPr>
                <w:rFonts w:ascii="Arial" w:cs="Arial" w:eastAsia="Arial" w:hAnsi="Arial"/>
                <w:sz w:val="18"/>
                <w:szCs w:val="18"/>
                <w:color w:val="202124"/>
                <w:w w:val="99"/>
              </w:rPr>
              <w:t>12 months</w:t>
            </w:r>
          </w:p>
        </w:tc>
      </w:tr>
      <w:tr>
        <w:trPr>
          <w:trHeight w:val="236"/>
        </w:trPr>
        <w:tc>
          <w:tcPr>
            <w:tcW w:w="404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1 – less than 5</w:t>
            </w:r>
          </w:p>
        </w:tc>
        <w:tc>
          <w:tcPr>
            <w:tcW w:w="276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202124"/>
                <w:w w:val="99"/>
              </w:rPr>
              <w:t>18 months</w:t>
            </w:r>
          </w:p>
        </w:tc>
      </w:tr>
      <w:tr>
        <w:trPr>
          <w:trHeight w:val="259"/>
        </w:trPr>
        <w:tc>
          <w:tcPr>
            <w:tcW w:w="4040" w:type="dxa"/>
            <w:vAlign w:val="bottom"/>
            <w:tcBorders>
              <w:bottom w:val="single" w:sz="8" w:color="202124"/>
            </w:tcBorders>
          </w:tcPr>
          <w:p>
            <w:pPr>
              <w:spacing w:after="0"/>
              <w:rPr>
                <w:sz w:val="20"/>
                <w:szCs w:val="20"/>
                <w:color w:val="auto"/>
              </w:rPr>
            </w:pPr>
            <w:r>
              <w:rPr>
                <w:rFonts w:ascii="Arial" w:cs="Arial" w:eastAsia="Arial" w:hAnsi="Arial"/>
                <w:sz w:val="18"/>
                <w:szCs w:val="18"/>
                <w:color w:val="202124"/>
              </w:rPr>
              <w:t>5 or more</w:t>
            </w:r>
          </w:p>
        </w:tc>
        <w:tc>
          <w:tcPr>
            <w:tcW w:w="2760" w:type="dxa"/>
            <w:vAlign w:val="bottom"/>
            <w:tcBorders>
              <w:bottom w:val="single" w:sz="8" w:color="202124"/>
            </w:tcBorders>
          </w:tcPr>
          <w:p>
            <w:pPr>
              <w:spacing w:after="0"/>
              <w:rPr>
                <w:sz w:val="22"/>
                <w:szCs w:val="22"/>
                <w:color w:val="auto"/>
              </w:rPr>
            </w:pPr>
          </w:p>
        </w:tc>
        <w:tc>
          <w:tcPr>
            <w:tcW w:w="980" w:type="dxa"/>
            <w:vAlign w:val="bottom"/>
            <w:tcBorders>
              <w:bottom w:val="single" w:sz="8" w:color="202124"/>
            </w:tcBorders>
          </w:tcPr>
          <w:p>
            <w:pPr>
              <w:jc w:val="center"/>
              <w:spacing w:after="0"/>
              <w:rPr>
                <w:sz w:val="20"/>
                <w:szCs w:val="20"/>
                <w:color w:val="auto"/>
              </w:rPr>
            </w:pPr>
            <w:r>
              <w:rPr>
                <w:rFonts w:ascii="Arial" w:cs="Arial" w:eastAsia="Arial" w:hAnsi="Arial"/>
                <w:sz w:val="18"/>
                <w:szCs w:val="18"/>
                <w:color w:val="202124"/>
                <w:w w:val="99"/>
              </w:rPr>
              <w:t>24 months</w:t>
            </w:r>
          </w:p>
        </w:tc>
      </w:tr>
    </w:tbl>
    <w:p>
      <w:pPr>
        <w:spacing w:after="0" w:line="103"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color w:val="202124"/>
        </w:rPr>
        <w:t>The executives will also receive a lump sum prorated share of their annual bonus incentive when such incentives are paid to similarly-situated executives. Medical, dental and vision insurance benefits generally continue through the severance period up to a maximum of 18 months, with the Company paying the cost of COBRA premiums to the extent such premiums exceed the amount the executive had been paying for such coverage. An appropriate level of outplacement services may be provided based on individual circumstances.</w:t>
      </w:r>
    </w:p>
    <w:p>
      <w:pPr>
        <w:spacing w:after="0" w:line="68" w:lineRule="exact"/>
        <w:rPr>
          <w:sz w:val="20"/>
          <w:szCs w:val="20"/>
          <w:color w:val="auto"/>
        </w:rPr>
      </w:pPr>
    </w:p>
    <w:p>
      <w:pPr>
        <w:ind w:left="640" w:right="40"/>
        <w:spacing w:after="0" w:line="271" w:lineRule="auto"/>
        <w:rPr>
          <w:sz w:val="20"/>
          <w:szCs w:val="20"/>
          <w:color w:val="auto"/>
        </w:rPr>
      </w:pPr>
      <w:r>
        <w:rPr>
          <w:rFonts w:ascii="Arial" w:cs="Arial" w:eastAsia="Arial" w:hAnsi="Arial"/>
          <w:sz w:val="18"/>
          <w:szCs w:val="18"/>
          <w:color w:val="202124"/>
        </w:rPr>
        <w:t>The Severance and Non-Compete Agreement further provides that the executive will not compete with AutoZone or solicit its employees for a two-year period after his or her employment with AutoZone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66   </w:t>
      </w:r>
      <w:r>
        <w:rPr>
          <w:sz w:val="1"/>
          <w:szCs w:val="1"/>
          <w:color w:val="auto"/>
        </w:rPr>
        <w:drawing>
          <wp:inline distT="0" distB="0" distL="0" distR="0">
            <wp:extent cx="116586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69" w:name="page70"/>
    <w:bookmarkEnd w:id="6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Equity Plans</w:t>
      </w:r>
    </w:p>
    <w:p>
      <w:pPr>
        <w:spacing w:after="0" w:line="104" w:lineRule="exact"/>
        <w:rPr>
          <w:sz w:val="20"/>
          <w:szCs w:val="20"/>
          <w:color w:val="auto"/>
        </w:rPr>
      </w:pPr>
    </w:p>
    <w:p>
      <w:pPr>
        <w:ind w:left="640" w:right="140"/>
        <w:spacing w:after="0" w:line="271" w:lineRule="auto"/>
        <w:rPr>
          <w:sz w:val="20"/>
          <w:szCs w:val="20"/>
          <w:color w:val="auto"/>
        </w:rPr>
      </w:pPr>
      <w:r>
        <w:rPr>
          <w:rFonts w:ascii="Arial" w:cs="Arial" w:eastAsia="Arial" w:hAnsi="Arial"/>
          <w:sz w:val="18"/>
          <w:szCs w:val="18"/>
          <w:color w:val="202124"/>
        </w:rPr>
        <w:t>All outstanding, unvested stock options, including those held by the NEOs, will vest immediately upon the option holder’s death pursuant to the terms of the stock option agreements.</w:t>
      </w:r>
    </w:p>
    <w:p>
      <w:pPr>
        <w:spacing w:after="0" w:line="46" w:lineRule="exact"/>
        <w:rPr>
          <w:sz w:val="20"/>
          <w:szCs w:val="20"/>
          <w:color w:val="auto"/>
        </w:rPr>
      </w:pPr>
    </w:p>
    <w:p>
      <w:pPr>
        <w:jc w:val="both"/>
        <w:ind w:left="640" w:right="520"/>
        <w:spacing w:after="0" w:line="266" w:lineRule="auto"/>
        <w:rPr>
          <w:sz w:val="20"/>
          <w:szCs w:val="20"/>
          <w:color w:val="auto"/>
        </w:rPr>
      </w:pPr>
      <w:r>
        <w:rPr>
          <w:rFonts w:ascii="Arial" w:cs="Arial" w:eastAsia="Arial" w:hAnsi="Arial"/>
          <w:sz w:val="17"/>
          <w:szCs w:val="17"/>
          <w:color w:val="202124"/>
        </w:rPr>
        <w:t>Unvested shares under our Executive Stock Purchase Plan, which normally are subject to forfeiture if a participant’s employment terminates prior to the first anniversary of their acquisition, will vest immediately if the termination is by reason of the participant’s death, disability, termination by the Company without cause, or retirement on or after the participant’s normal retirement date. The plan defines “disability,” “cause,” and “normal retirement date.”</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Life Insurance</w:t>
      </w:r>
    </w:p>
    <w:p>
      <w:pPr>
        <w:spacing w:after="0" w:line="104" w:lineRule="exact"/>
        <w:rPr>
          <w:sz w:val="20"/>
          <w:szCs w:val="20"/>
          <w:color w:val="auto"/>
        </w:rPr>
      </w:pPr>
    </w:p>
    <w:p>
      <w:pPr>
        <w:ind w:left="640" w:right="140"/>
        <w:spacing w:after="0" w:line="242" w:lineRule="auto"/>
        <w:rPr>
          <w:sz w:val="20"/>
          <w:szCs w:val="20"/>
          <w:color w:val="auto"/>
        </w:rPr>
      </w:pPr>
      <w:r>
        <w:rPr>
          <w:rFonts w:ascii="Arial" w:cs="Arial" w:eastAsia="Arial" w:hAnsi="Arial"/>
          <w:sz w:val="18"/>
          <w:szCs w:val="18"/>
          <w:color w:val="202124"/>
        </w:rPr>
        <w:t>AutoZone provides all salaried AutoZoners in active full-time employment in the United States a company-paid life insurance benefit in the amount of two times annual earnings. “Annual earnings” exclude stock compensation and gains realized from stock option exercises but include salary and short-term incentive compensation received. Additionally, salaried AutoZoners are eligible to purchase additional life insurance subject to insurability above certain amounts. The maximum benefit of the company-paid and the additional coverage combined is $7,500,000. All the NEOs are eligible for this benefit.</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Disability Insurance</w:t>
      </w:r>
    </w:p>
    <w:p>
      <w:pPr>
        <w:spacing w:after="0" w:line="104" w:lineRule="exact"/>
        <w:rPr>
          <w:sz w:val="20"/>
          <w:szCs w:val="20"/>
          <w:color w:val="auto"/>
        </w:rPr>
      </w:pPr>
    </w:p>
    <w:p>
      <w:pPr>
        <w:ind w:left="640" w:right="60"/>
        <w:spacing w:after="0"/>
        <w:rPr>
          <w:sz w:val="20"/>
          <w:szCs w:val="20"/>
          <w:color w:val="auto"/>
        </w:rPr>
      </w:pPr>
      <w:r>
        <w:rPr>
          <w:rFonts w:ascii="Arial" w:cs="Arial" w:eastAsia="Arial" w:hAnsi="Arial"/>
          <w:sz w:val="18"/>
          <w:szCs w:val="18"/>
          <w:color w:val="202124"/>
        </w:rPr>
        <w:t>All full-time officers at the level of vice president and above are eligible to participate in two executive long-term disability plans, until age 67. Accordingly, AutoZone purchases individual disability policies for its executive officers that pay 70% of the first $7,143 of insurable monthly earnings in the event of disability. Additionally, the executive officers are eligible to receive an executive long-term disability plan benefit in the amount of 70% of the next $35,714 of insurable monthly earnings to a maximum benefit of $25,000 per month. AutoZone purchases insurance to cover this plan benefit. These two benefits combined provide a maximum benefit of $30,000 per month. The benefit payment for these plans may be reduced by deductible sources of income and disability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67</w:t>
            </w:r>
          </w:p>
        </w:tc>
      </w:tr>
    </w:tbl>
    <w:p>
      <w:pPr>
        <w:sectPr>
          <w:pgSz w:w="11900" w:h="16838" w:orient="portrait"/>
          <w:cols w:equalWidth="0" w:num="1">
            <w:col w:w="10360"/>
          </w:cols>
          <w:pgMar w:left="440" w:top="106" w:right="1099" w:bottom="1440" w:gutter="0" w:footer="0" w:header="0"/>
        </w:sectPr>
      </w:pPr>
    </w:p>
    <w:bookmarkStart w:id="70" w:name="page71"/>
    <w:bookmarkEnd w:id="7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460"/>
        <w:spacing w:after="0" w:line="233" w:lineRule="auto"/>
        <w:rPr>
          <w:sz w:val="20"/>
          <w:szCs w:val="20"/>
          <w:color w:val="auto"/>
        </w:rPr>
      </w:pPr>
      <w:r>
        <w:rPr>
          <w:rFonts w:ascii="Arial" w:cs="Arial" w:eastAsia="Arial" w:hAnsi="Arial"/>
          <w:sz w:val="18"/>
          <w:szCs w:val="18"/>
          <w:color w:val="202124"/>
        </w:rPr>
        <w:t>The following table shows the amounts that the NEOs would have received if their employment had been terminated under specified circumstances on August 29, 2026. This table does not include amounts related to the NEOs’ vested benefits under our deferred compensation and pension plans or pursuant to stock option awards, all of which are described in the tables above.</w:t>
      </w:r>
    </w:p>
    <w:p>
      <w:pPr>
        <w:spacing w:after="0" w:line="66"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840" w:type="dxa"/>
            <w:vAlign w:val="bottom"/>
            <w:shd w:val="clear" w:color="auto" w:fill="212322"/>
          </w:tcPr>
          <w:p>
            <w:pPr>
              <w:spacing w:after="0"/>
              <w:rPr>
                <w:sz w:val="15"/>
                <w:szCs w:val="15"/>
                <w:color w:val="auto"/>
              </w:rPr>
            </w:pPr>
          </w:p>
        </w:tc>
        <w:tc>
          <w:tcPr>
            <w:tcW w:w="940" w:type="dxa"/>
            <w:vAlign w:val="bottom"/>
            <w:gridSpan w:val="2"/>
            <w:shd w:val="clear" w:color="auto" w:fill="212322"/>
          </w:tcPr>
          <w:p>
            <w:pPr>
              <w:ind w:left="60"/>
              <w:spacing w:after="0"/>
              <w:rPr>
                <w:sz w:val="20"/>
                <w:szCs w:val="20"/>
                <w:color w:val="auto"/>
              </w:rPr>
            </w:pPr>
            <w:r>
              <w:rPr>
                <w:rFonts w:ascii="Arial" w:cs="Arial" w:eastAsia="Arial" w:hAnsi="Arial"/>
                <w:sz w:val="13"/>
                <w:szCs w:val="13"/>
                <w:b w:val="1"/>
                <w:bCs w:val="1"/>
                <w:color w:val="FFFFFF"/>
              </w:rPr>
              <w:t>​​​  Voluntary</w:t>
            </w:r>
          </w:p>
        </w:tc>
        <w:tc>
          <w:tcPr>
            <w:tcW w:w="1220" w:type="dxa"/>
            <w:vAlign w:val="bottom"/>
            <w:shd w:val="clear" w:color="auto" w:fill="212322"/>
          </w:tcPr>
          <w:p>
            <w:pPr>
              <w:jc w:val="right"/>
              <w:spacing w:after="0"/>
              <w:rPr>
                <w:sz w:val="20"/>
                <w:szCs w:val="20"/>
                <w:color w:val="auto"/>
              </w:rPr>
            </w:pPr>
            <w:r>
              <w:rPr>
                <w:rFonts w:ascii="Arial" w:cs="Arial" w:eastAsia="Arial" w:hAnsi="Arial"/>
                <w:sz w:val="13"/>
                <w:szCs w:val="13"/>
                <w:b w:val="1"/>
                <w:bCs w:val="1"/>
                <w:color w:val="FFFFFF"/>
              </w:rPr>
              <w:t>​​​ Involuntary   ​​​</w:t>
            </w:r>
          </w:p>
        </w:tc>
        <w:tc>
          <w:tcPr>
            <w:tcW w:w="880" w:type="dxa"/>
            <w:vAlign w:val="bottom"/>
            <w:shd w:val="clear" w:color="auto" w:fill="212322"/>
          </w:tcPr>
          <w:p>
            <w:pPr>
              <w:ind w:left="720"/>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212322"/>
          </w:tcPr>
          <w:p>
            <w:pPr>
              <w:jc w:val="right"/>
              <w:ind w:right="49"/>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212322"/>
          </w:tcPr>
          <w:p>
            <w:pPr>
              <w:spacing w:after="0"/>
              <w:rPr>
                <w:sz w:val="15"/>
                <w:szCs w:val="15"/>
                <w:color w:val="auto"/>
              </w:rPr>
            </w:pPr>
          </w:p>
        </w:tc>
        <w:tc>
          <w:tcPr>
            <w:tcW w:w="980" w:type="dxa"/>
            <w:vAlign w:val="bottom"/>
            <w:shd w:val="clear" w:color="auto" w:fill="212322"/>
          </w:tcPr>
          <w:p>
            <w:pPr>
              <w:jc w:val="right"/>
              <w:ind w:right="729"/>
              <w:spacing w:after="0"/>
              <w:rPr>
                <w:sz w:val="20"/>
                <w:szCs w:val="20"/>
                <w:color w:val="auto"/>
              </w:rPr>
            </w:pPr>
            <w:r>
              <w:rPr>
                <w:rFonts w:ascii="Arial" w:cs="Arial" w:eastAsia="Arial" w:hAnsi="Arial"/>
                <w:sz w:val="13"/>
                <w:szCs w:val="13"/>
                <w:b w:val="1"/>
                <w:bCs w:val="1"/>
                <w:color w:val="FFFFFF"/>
              </w:rPr>
              <w:t>​​​</w:t>
            </w:r>
          </w:p>
        </w:tc>
      </w:tr>
      <w:tr>
        <w:trPr>
          <w:trHeight w:val="175"/>
        </w:trPr>
        <w:tc>
          <w:tcPr>
            <w:tcW w:w="3840" w:type="dxa"/>
            <w:vAlign w:val="bottom"/>
            <w:shd w:val="clear" w:color="auto" w:fill="212322"/>
          </w:tcPr>
          <w:p>
            <w:pPr>
              <w:spacing w:after="0"/>
              <w:rPr>
                <w:sz w:val="15"/>
                <w:szCs w:val="15"/>
                <w:color w:val="auto"/>
              </w:rPr>
            </w:pPr>
          </w:p>
        </w:tc>
        <w:tc>
          <w:tcPr>
            <w:tcW w:w="160" w:type="dxa"/>
            <w:vAlign w:val="bottom"/>
            <w:shd w:val="clear" w:color="auto" w:fill="212322"/>
          </w:tcPr>
          <w:p>
            <w:pPr>
              <w:spacing w:after="0"/>
              <w:rPr>
                <w:sz w:val="15"/>
                <w:szCs w:val="15"/>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7"/>
              </w:rPr>
              <w:t>or For Cause</w:t>
            </w:r>
          </w:p>
        </w:tc>
        <w:tc>
          <w:tcPr>
            <w:tcW w:w="122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6"/>
              </w:rPr>
              <w:t>Termination</w:t>
            </w:r>
          </w:p>
        </w:tc>
        <w:tc>
          <w:tcPr>
            <w:tcW w:w="880" w:type="dxa"/>
            <w:vAlign w:val="bottom"/>
            <w:shd w:val="clear" w:color="auto" w:fill="212322"/>
          </w:tcPr>
          <w:p>
            <w:pPr>
              <w:jc w:val="center"/>
              <w:ind w:right="189"/>
              <w:spacing w:after="0"/>
              <w:rPr>
                <w:sz w:val="20"/>
                <w:szCs w:val="20"/>
                <w:color w:val="auto"/>
              </w:rPr>
            </w:pPr>
            <w:r>
              <w:rPr>
                <w:rFonts w:ascii="Arial" w:cs="Arial" w:eastAsia="Arial" w:hAnsi="Arial"/>
                <w:sz w:val="13"/>
                <w:szCs w:val="13"/>
                <w:b w:val="1"/>
                <w:bCs w:val="1"/>
                <w:color w:val="FFFFFF"/>
                <w:w w:val="98"/>
              </w:rPr>
              <w:t>Change in</w:t>
            </w:r>
          </w:p>
        </w:tc>
        <w:tc>
          <w:tcPr>
            <w:tcW w:w="1060" w:type="dxa"/>
            <w:vAlign w:val="bottom"/>
            <w:shd w:val="clear" w:color="auto" w:fill="212322"/>
          </w:tcPr>
          <w:p>
            <w:pPr>
              <w:spacing w:after="0"/>
              <w:rPr>
                <w:sz w:val="15"/>
                <w:szCs w:val="15"/>
                <w:color w:val="auto"/>
              </w:rPr>
            </w:pPr>
          </w:p>
        </w:tc>
        <w:tc>
          <w:tcPr>
            <w:tcW w:w="800" w:type="dxa"/>
            <w:vAlign w:val="bottom"/>
            <w:shd w:val="clear" w:color="auto" w:fill="212322"/>
          </w:tcPr>
          <w:p>
            <w:pPr>
              <w:spacing w:after="0"/>
              <w:rPr>
                <w:sz w:val="15"/>
                <w:szCs w:val="15"/>
                <w:color w:val="auto"/>
              </w:rPr>
            </w:pPr>
          </w:p>
        </w:tc>
        <w:tc>
          <w:tcPr>
            <w:tcW w:w="980" w:type="dxa"/>
            <w:vAlign w:val="bottom"/>
            <w:shd w:val="clear" w:color="auto" w:fill="212322"/>
          </w:tcPr>
          <w:p>
            <w:pPr>
              <w:jc w:val="center"/>
              <w:ind w:left="69"/>
              <w:spacing w:after="0"/>
              <w:rPr>
                <w:sz w:val="20"/>
                <w:szCs w:val="20"/>
                <w:color w:val="auto"/>
              </w:rPr>
            </w:pPr>
            <w:r>
              <w:rPr>
                <w:rFonts w:ascii="Arial" w:cs="Arial" w:eastAsia="Arial" w:hAnsi="Arial"/>
                <w:sz w:val="13"/>
                <w:szCs w:val="13"/>
                <w:b w:val="1"/>
                <w:bCs w:val="1"/>
                <w:color w:val="FFFFFF"/>
                <w:w w:val="98"/>
              </w:rPr>
              <w:t>Normal</w:t>
            </w:r>
          </w:p>
        </w:tc>
      </w:tr>
      <w:tr>
        <w:trPr>
          <w:trHeight w:val="176"/>
        </w:trPr>
        <w:tc>
          <w:tcPr>
            <w:tcW w:w="3840" w:type="dxa"/>
            <w:vAlign w:val="bottom"/>
            <w:shd w:val="clear" w:color="auto" w:fill="212322"/>
          </w:tcPr>
          <w:p>
            <w:pPr>
              <w:spacing w:after="0"/>
              <w:rPr>
                <w:sz w:val="15"/>
                <w:szCs w:val="15"/>
                <w:color w:val="auto"/>
              </w:rPr>
            </w:pPr>
          </w:p>
        </w:tc>
        <w:tc>
          <w:tcPr>
            <w:tcW w:w="160" w:type="dxa"/>
            <w:vAlign w:val="bottom"/>
            <w:shd w:val="clear" w:color="auto" w:fill="212322"/>
          </w:tcPr>
          <w:p>
            <w:pPr>
              <w:spacing w:after="0"/>
              <w:rPr>
                <w:sz w:val="15"/>
                <w:szCs w:val="15"/>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4"/>
              </w:rPr>
              <w:t>Termination</w:t>
            </w:r>
          </w:p>
        </w:tc>
        <w:tc>
          <w:tcPr>
            <w:tcW w:w="122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96"/>
              </w:rPr>
              <w:t>Not For Cause</w:t>
            </w:r>
          </w:p>
        </w:tc>
        <w:tc>
          <w:tcPr>
            <w:tcW w:w="880" w:type="dxa"/>
            <w:vAlign w:val="bottom"/>
            <w:shd w:val="clear" w:color="auto" w:fill="212322"/>
          </w:tcPr>
          <w:p>
            <w:pPr>
              <w:jc w:val="center"/>
              <w:ind w:right="189"/>
              <w:spacing w:after="0"/>
              <w:rPr>
                <w:sz w:val="20"/>
                <w:szCs w:val="20"/>
                <w:color w:val="auto"/>
              </w:rPr>
            </w:pPr>
            <w:r>
              <w:rPr>
                <w:rFonts w:ascii="Arial" w:cs="Arial" w:eastAsia="Arial" w:hAnsi="Arial"/>
                <w:sz w:val="13"/>
                <w:szCs w:val="13"/>
                <w:b w:val="1"/>
                <w:bCs w:val="1"/>
                <w:color w:val="FFFFFF"/>
                <w:w w:val="99"/>
              </w:rPr>
              <w:t>Control</w:t>
            </w:r>
          </w:p>
        </w:tc>
        <w:tc>
          <w:tcPr>
            <w:tcW w:w="1060" w:type="dxa"/>
            <w:vAlign w:val="bottom"/>
            <w:shd w:val="clear" w:color="auto" w:fill="212322"/>
          </w:tcPr>
          <w:p>
            <w:pPr>
              <w:jc w:val="right"/>
              <w:ind w:right="369"/>
              <w:spacing w:after="0"/>
              <w:rPr>
                <w:sz w:val="20"/>
                <w:szCs w:val="20"/>
                <w:color w:val="auto"/>
              </w:rPr>
            </w:pPr>
            <w:r>
              <w:rPr>
                <w:rFonts w:ascii="Arial" w:cs="Arial" w:eastAsia="Arial" w:hAnsi="Arial"/>
                <w:sz w:val="13"/>
                <w:szCs w:val="13"/>
                <w:b w:val="1"/>
                <w:bCs w:val="1"/>
                <w:color w:val="FFFFFF"/>
              </w:rPr>
              <w:t>Disability</w:t>
            </w:r>
          </w:p>
        </w:tc>
        <w:tc>
          <w:tcPr>
            <w:tcW w:w="800" w:type="dxa"/>
            <w:vAlign w:val="bottom"/>
            <w:shd w:val="clear" w:color="auto" w:fill="212322"/>
          </w:tcPr>
          <w:p>
            <w:pPr>
              <w:jc w:val="right"/>
              <w:ind w:right="228"/>
              <w:spacing w:after="0"/>
              <w:rPr>
                <w:sz w:val="20"/>
                <w:szCs w:val="20"/>
                <w:color w:val="auto"/>
              </w:rPr>
            </w:pPr>
            <w:r>
              <w:rPr>
                <w:rFonts w:ascii="Arial" w:cs="Arial" w:eastAsia="Arial" w:hAnsi="Arial"/>
                <w:sz w:val="13"/>
                <w:szCs w:val="13"/>
                <w:b w:val="1"/>
                <w:bCs w:val="1"/>
                <w:color w:val="FFFFFF"/>
              </w:rPr>
              <w:t>Death</w:t>
            </w:r>
          </w:p>
        </w:tc>
        <w:tc>
          <w:tcPr>
            <w:tcW w:w="980" w:type="dxa"/>
            <w:vAlign w:val="bottom"/>
            <w:shd w:val="clear" w:color="auto" w:fill="212322"/>
          </w:tcPr>
          <w:p>
            <w:pPr>
              <w:jc w:val="center"/>
              <w:ind w:left="89"/>
              <w:spacing w:after="0"/>
              <w:rPr>
                <w:sz w:val="20"/>
                <w:szCs w:val="20"/>
                <w:color w:val="auto"/>
              </w:rPr>
            </w:pPr>
            <w:r>
              <w:rPr>
                <w:rFonts w:ascii="Arial" w:cs="Arial" w:eastAsia="Arial" w:hAnsi="Arial"/>
                <w:sz w:val="13"/>
                <w:szCs w:val="13"/>
                <w:b w:val="1"/>
                <w:bCs w:val="1"/>
                <w:color w:val="FFFFFF"/>
                <w:w w:val="97"/>
              </w:rPr>
              <w:t>Retirement</w:t>
            </w:r>
          </w:p>
        </w:tc>
      </w:tr>
      <w:tr>
        <w:trPr>
          <w:trHeight w:val="148"/>
        </w:trPr>
        <w:tc>
          <w:tcPr>
            <w:tcW w:w="3840" w:type="dxa"/>
            <w:vAlign w:val="bottom"/>
            <w:shd w:val="clear" w:color="auto" w:fill="212322"/>
          </w:tcPr>
          <w:p>
            <w:pPr>
              <w:spacing w:after="0"/>
              <w:rPr>
                <w:sz w:val="20"/>
                <w:szCs w:val="20"/>
                <w:color w:val="auto"/>
              </w:rPr>
            </w:pPr>
            <w:r>
              <w:rPr>
                <w:rFonts w:ascii="Arial" w:cs="Arial" w:eastAsia="Arial" w:hAnsi="Arial"/>
                <w:sz w:val="13"/>
                <w:szCs w:val="13"/>
                <w:b w:val="1"/>
                <w:bCs w:val="1"/>
                <w:color w:val="FFFFFF"/>
              </w:rPr>
              <w:t>Name</w:t>
            </w:r>
          </w:p>
        </w:tc>
        <w:tc>
          <w:tcPr>
            <w:tcW w:w="160" w:type="dxa"/>
            <w:vAlign w:val="bottom"/>
            <w:shd w:val="clear" w:color="auto" w:fill="212322"/>
          </w:tcPr>
          <w:p>
            <w:pPr>
              <w:spacing w:after="0"/>
              <w:rPr>
                <w:sz w:val="12"/>
                <w:szCs w:val="12"/>
                <w:color w:val="auto"/>
              </w:rPr>
            </w:pPr>
          </w:p>
        </w:tc>
        <w:tc>
          <w:tcPr>
            <w:tcW w:w="78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w w:val="87"/>
              </w:rPr>
              <w:t>($)</w:t>
            </w:r>
          </w:p>
        </w:tc>
        <w:tc>
          <w:tcPr>
            <w:tcW w:w="1220" w:type="dxa"/>
            <w:vAlign w:val="bottom"/>
            <w:shd w:val="clear" w:color="auto" w:fill="212322"/>
          </w:tcPr>
          <w:p>
            <w:pPr>
              <w:jc w:val="center"/>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212322"/>
          </w:tcPr>
          <w:p>
            <w:pPr>
              <w:jc w:val="center"/>
              <w:ind w:right="189"/>
              <w:spacing w:after="0"/>
              <w:rPr>
                <w:sz w:val="20"/>
                <w:szCs w:val="20"/>
                <w:color w:val="auto"/>
              </w:rPr>
            </w:pPr>
            <w:r>
              <w:rPr>
                <w:rFonts w:ascii="Arial" w:cs="Arial" w:eastAsia="Arial" w:hAnsi="Arial"/>
                <w:sz w:val="13"/>
                <w:szCs w:val="13"/>
                <w:b w:val="1"/>
                <w:bCs w:val="1"/>
                <w:color w:val="FFFFFF"/>
                <w:w w:val="87"/>
              </w:rPr>
              <w:t>($)</w:t>
            </w:r>
          </w:p>
        </w:tc>
        <w:tc>
          <w:tcPr>
            <w:tcW w:w="1060" w:type="dxa"/>
            <w:vAlign w:val="bottom"/>
            <w:shd w:val="clear" w:color="auto" w:fill="212322"/>
          </w:tcPr>
          <w:p>
            <w:pPr>
              <w:jc w:val="right"/>
              <w:ind w:right="569"/>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212322"/>
          </w:tcPr>
          <w:p>
            <w:pPr>
              <w:jc w:val="right"/>
              <w:ind w:right="328"/>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212322"/>
          </w:tcPr>
          <w:p>
            <w:pPr>
              <w:jc w:val="center"/>
              <w:ind w:left="69"/>
              <w:spacing w:after="0"/>
              <w:rPr>
                <w:sz w:val="20"/>
                <w:szCs w:val="20"/>
                <w:color w:val="auto"/>
              </w:rPr>
            </w:pPr>
            <w:r>
              <w:rPr>
                <w:rFonts w:ascii="Arial" w:cs="Arial" w:eastAsia="Arial" w:hAnsi="Arial"/>
                <w:sz w:val="13"/>
                <w:szCs w:val="13"/>
                <w:b w:val="1"/>
                <w:bCs w:val="1"/>
                <w:color w:val="FFFFFF"/>
              </w:rPr>
              <w:t>($)</w:t>
            </w:r>
          </w:p>
        </w:tc>
      </w:tr>
      <w:tr>
        <w:trPr>
          <w:trHeight w:val="180"/>
        </w:trPr>
        <w:tc>
          <w:tcPr>
            <w:tcW w:w="3840" w:type="dxa"/>
            <w:vAlign w:val="bottom"/>
          </w:tcPr>
          <w:p>
            <w:pPr>
              <w:spacing w:after="0" w:line="180" w:lineRule="exact"/>
              <w:rPr>
                <w:sz w:val="20"/>
                <w:szCs w:val="20"/>
                <w:color w:val="auto"/>
              </w:rPr>
            </w:pPr>
            <w:r>
              <w:rPr>
                <w:rFonts w:ascii="Arial" w:cs="Arial" w:eastAsia="Arial" w:hAnsi="Arial"/>
                <w:sz w:val="14"/>
                <w:szCs w:val="14"/>
                <w:b w:val="1"/>
                <w:bCs w:val="1"/>
                <w:color w:val="F37F00"/>
              </w:rPr>
              <w:t xml:space="preserve">Philip B. Daniele, III </w:t>
            </w:r>
            <w:r>
              <w:rPr>
                <w:rFonts w:ascii="Arial" w:cs="Arial" w:eastAsia="Arial" w:hAnsi="Arial"/>
                <w:sz w:val="20"/>
                <w:szCs w:val="20"/>
                <w:b w:val="1"/>
                <w:bCs w:val="1"/>
                <w:color w:val="F37F00"/>
                <w:vertAlign w:val="superscript"/>
              </w:rPr>
              <w:t>(1)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Severance Pay</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3,588,000</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276,923</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Annual Incentive</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1,607,097</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1,607,097</w:t>
            </w:r>
          </w:p>
        </w:tc>
        <w:tc>
          <w:tcPr>
            <w:tcW w:w="800" w:type="dxa"/>
            <w:vAlign w:val="bottom"/>
          </w:tcPr>
          <w:p>
            <w:pPr>
              <w:jc w:val="right"/>
              <w:spacing w:after="0"/>
              <w:rPr>
                <w:sz w:val="20"/>
                <w:szCs w:val="20"/>
                <w:color w:val="auto"/>
              </w:rPr>
            </w:pPr>
            <w:r>
              <w:rPr>
                <w:rFonts w:ascii="Arial" w:cs="Arial" w:eastAsia="Arial" w:hAnsi="Arial"/>
                <w:sz w:val="14"/>
                <w:szCs w:val="14"/>
                <w:color w:val="202124"/>
              </w:rPr>
              <w:t>1,607,097</w:t>
            </w:r>
          </w:p>
        </w:tc>
        <w:tc>
          <w:tcPr>
            <w:tcW w:w="980" w:type="dxa"/>
            <w:vAlign w:val="bottom"/>
          </w:tcPr>
          <w:p>
            <w:pPr>
              <w:jc w:val="right"/>
              <w:spacing w:after="0"/>
              <w:rPr>
                <w:sz w:val="20"/>
                <w:szCs w:val="20"/>
                <w:color w:val="auto"/>
              </w:rPr>
            </w:pPr>
            <w:r>
              <w:rPr>
                <w:rFonts w:ascii="Arial" w:cs="Arial" w:eastAsia="Arial" w:hAnsi="Arial"/>
                <w:sz w:val="14"/>
                <w:szCs w:val="14"/>
                <w:color w:val="202124"/>
              </w:rPr>
              <w:t>1,607,097</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Benefits Continuation</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40,819</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6,803</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Options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2,504,341</w:t>
            </w:r>
          </w:p>
        </w:tc>
        <w:tc>
          <w:tcPr>
            <w:tcW w:w="980" w:type="dxa"/>
            <w:vAlign w:val="bottom"/>
          </w:tcPr>
          <w:p>
            <w:pPr>
              <w:jc w:val="right"/>
              <w:spacing w:after="0"/>
              <w:rPr>
                <w:sz w:val="20"/>
                <w:szCs w:val="20"/>
                <w:color w:val="auto"/>
              </w:rPr>
            </w:pPr>
            <w:r>
              <w:rPr>
                <w:rFonts w:ascii="Arial" w:cs="Arial" w:eastAsia="Arial" w:hAnsi="Arial"/>
                <w:sz w:val="14"/>
                <w:szCs w:val="14"/>
                <w:color w:val="202124"/>
              </w:rPr>
              <w:t>2,504,341</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Awards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33,588</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14,810</w:t>
            </w:r>
          </w:p>
        </w:tc>
        <w:tc>
          <w:tcPr>
            <w:tcW w:w="800" w:type="dxa"/>
            <w:vAlign w:val="bottom"/>
          </w:tcPr>
          <w:p>
            <w:pPr>
              <w:jc w:val="right"/>
              <w:spacing w:after="0"/>
              <w:rPr>
                <w:sz w:val="20"/>
                <w:szCs w:val="20"/>
                <w:color w:val="auto"/>
              </w:rPr>
            </w:pPr>
            <w:r>
              <w:rPr>
                <w:rFonts w:ascii="Arial" w:cs="Arial" w:eastAsia="Arial" w:hAnsi="Arial"/>
                <w:sz w:val="14"/>
                <w:szCs w:val="14"/>
                <w:color w:val="202124"/>
              </w:rPr>
              <w:t>33,588</w:t>
            </w:r>
          </w:p>
        </w:tc>
        <w:tc>
          <w:tcPr>
            <w:tcW w:w="980" w:type="dxa"/>
            <w:vAlign w:val="bottom"/>
          </w:tcPr>
          <w:p>
            <w:pPr>
              <w:jc w:val="right"/>
              <w:spacing w:after="0"/>
              <w:rPr>
                <w:sz w:val="20"/>
                <w:szCs w:val="20"/>
                <w:color w:val="auto"/>
              </w:rPr>
            </w:pPr>
            <w:r>
              <w:rPr>
                <w:rFonts w:ascii="Arial" w:cs="Arial" w:eastAsia="Arial" w:hAnsi="Arial"/>
                <w:sz w:val="14"/>
                <w:szCs w:val="14"/>
                <w:color w:val="202124"/>
              </w:rPr>
              <w:t>33,588</w:t>
            </w:r>
          </w:p>
        </w:tc>
      </w:tr>
      <w:tr>
        <w:trPr>
          <w:trHeight w:val="190"/>
        </w:trPr>
        <w:tc>
          <w:tcPr>
            <w:tcW w:w="3840" w:type="dxa"/>
            <w:vAlign w:val="bottom"/>
          </w:tcPr>
          <w:p>
            <w:pPr>
              <w:ind w:left="220"/>
              <w:spacing w:after="0"/>
              <w:rPr>
                <w:sz w:val="20"/>
                <w:szCs w:val="20"/>
                <w:color w:val="auto"/>
              </w:rPr>
            </w:pPr>
            <w:r>
              <w:rPr>
                <w:rFonts w:ascii="Arial" w:cs="Arial" w:eastAsia="Arial" w:hAnsi="Arial"/>
                <w:sz w:val="14"/>
                <w:szCs w:val="14"/>
                <w:color w:val="202124"/>
              </w:rPr>
              <w:t>Disability Benefits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3,420,000</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3"/>
        </w:trPr>
        <w:tc>
          <w:tcPr>
            <w:tcW w:w="3840" w:type="dxa"/>
            <w:vAlign w:val="bottom"/>
          </w:tcPr>
          <w:p>
            <w:pPr>
              <w:ind w:left="220"/>
              <w:spacing w:after="0"/>
              <w:rPr>
                <w:sz w:val="20"/>
                <w:szCs w:val="20"/>
                <w:color w:val="auto"/>
              </w:rPr>
            </w:pPr>
            <w:r>
              <w:rPr>
                <w:rFonts w:ascii="Arial" w:cs="Arial" w:eastAsia="Arial" w:hAnsi="Arial"/>
                <w:sz w:val="14"/>
                <w:szCs w:val="14"/>
                <w:color w:val="202124"/>
              </w:rPr>
              <w:t>Life Insurance Benefits</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4,578,000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w:t>
            </w:r>
          </w:p>
        </w:tc>
      </w:tr>
      <w:tr>
        <w:trPr>
          <w:trHeight w:val="183"/>
        </w:trPr>
        <w:tc>
          <w:tcPr>
            <w:tcW w:w="3840" w:type="dxa"/>
            <w:vAlign w:val="bottom"/>
            <w:tcBorders>
              <w:bottom w:val="single" w:sz="8" w:color="808080"/>
            </w:tcBorders>
          </w:tcPr>
          <w:p>
            <w:pPr>
              <w:ind w:left="220"/>
              <w:spacing w:after="0"/>
              <w:rPr>
                <w:sz w:val="20"/>
                <w:szCs w:val="20"/>
                <w:color w:val="auto"/>
              </w:rPr>
            </w:pPr>
            <w:r>
              <w:rPr>
                <w:rFonts w:ascii="Arial" w:cs="Arial" w:eastAsia="Arial" w:hAnsi="Arial"/>
                <w:sz w:val="14"/>
                <w:szCs w:val="14"/>
                <w:b w:val="1"/>
                <w:bCs w:val="1"/>
                <w:color w:val="202124"/>
              </w:rPr>
              <w:t>Total</w:t>
            </w:r>
          </w:p>
        </w:tc>
        <w:tc>
          <w:tcPr>
            <w:tcW w:w="1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b w:val="1"/>
                <w:bCs w:val="1"/>
                <w:color w:val="202124"/>
              </w:rPr>
              <w:t>5,269,504</w:t>
            </w:r>
          </w:p>
        </w:tc>
        <w:tc>
          <w:tcPr>
            <w:tcW w:w="880" w:type="dxa"/>
            <w:vAlign w:val="bottom"/>
            <w:tcBorders>
              <w:bottom w:val="single" w:sz="8" w:color="808080"/>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808080"/>
            </w:tcBorders>
          </w:tcPr>
          <w:p>
            <w:pPr>
              <w:jc w:val="right"/>
              <w:ind w:right="269"/>
              <w:spacing w:after="0"/>
              <w:rPr>
                <w:sz w:val="20"/>
                <w:szCs w:val="20"/>
                <w:color w:val="auto"/>
              </w:rPr>
            </w:pPr>
            <w:r>
              <w:rPr>
                <w:rFonts w:ascii="Arial" w:cs="Arial" w:eastAsia="Arial" w:hAnsi="Arial"/>
                <w:sz w:val="14"/>
                <w:szCs w:val="14"/>
                <w:b w:val="1"/>
                <w:bCs w:val="1"/>
                <w:color w:val="202124"/>
              </w:rPr>
              <w:t>5,041,907</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9,006,752</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4,145,026</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4"/>
                <w:szCs w:val="14"/>
                <w:b w:val="1"/>
                <w:bCs w:val="1"/>
                <w:color w:val="F37F00"/>
              </w:rPr>
              <w:t xml:space="preserve">Jamere Jackson </w:t>
            </w:r>
            <w:r>
              <w:rPr>
                <w:rFonts w:ascii="Arial" w:cs="Arial" w:eastAsia="Arial" w:hAnsi="Arial"/>
                <w:sz w:val="20"/>
                <w:szCs w:val="20"/>
                <w:b w:val="1"/>
                <w:bCs w:val="1"/>
                <w:color w:val="F37F00"/>
                <w:vertAlign w:val="superscript"/>
              </w:rPr>
              <w:t>(2)</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Severance Pay</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Annual Incentive</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Benefits Continuation</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Options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Awards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90"/>
        </w:trPr>
        <w:tc>
          <w:tcPr>
            <w:tcW w:w="3840" w:type="dxa"/>
            <w:vAlign w:val="bottom"/>
          </w:tcPr>
          <w:p>
            <w:pPr>
              <w:ind w:left="220"/>
              <w:spacing w:after="0"/>
              <w:rPr>
                <w:sz w:val="20"/>
                <w:szCs w:val="20"/>
                <w:color w:val="auto"/>
              </w:rPr>
            </w:pPr>
            <w:r>
              <w:rPr>
                <w:rFonts w:ascii="Arial" w:cs="Arial" w:eastAsia="Arial" w:hAnsi="Arial"/>
                <w:sz w:val="14"/>
                <w:szCs w:val="14"/>
                <w:color w:val="202124"/>
              </w:rPr>
              <w:t>Disability Benefits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3"/>
        </w:trPr>
        <w:tc>
          <w:tcPr>
            <w:tcW w:w="3840" w:type="dxa"/>
            <w:vAlign w:val="bottom"/>
          </w:tcPr>
          <w:p>
            <w:pPr>
              <w:ind w:left="220"/>
              <w:spacing w:after="0"/>
              <w:rPr>
                <w:sz w:val="20"/>
                <w:szCs w:val="20"/>
                <w:color w:val="auto"/>
              </w:rPr>
            </w:pPr>
            <w:r>
              <w:rPr>
                <w:rFonts w:ascii="Arial" w:cs="Arial" w:eastAsia="Arial" w:hAnsi="Arial"/>
                <w:sz w:val="14"/>
                <w:szCs w:val="14"/>
                <w:color w:val="202124"/>
              </w:rPr>
              <w:t>Life Insurance Benefits</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w:t>
            </w:r>
          </w:p>
        </w:tc>
      </w:tr>
      <w:tr>
        <w:trPr>
          <w:trHeight w:val="183"/>
        </w:trPr>
        <w:tc>
          <w:tcPr>
            <w:tcW w:w="3840" w:type="dxa"/>
            <w:vAlign w:val="bottom"/>
            <w:tcBorders>
              <w:bottom w:val="single" w:sz="8" w:color="808080"/>
            </w:tcBorders>
          </w:tcPr>
          <w:p>
            <w:pPr>
              <w:ind w:left="220"/>
              <w:spacing w:after="0"/>
              <w:rPr>
                <w:sz w:val="20"/>
                <w:szCs w:val="20"/>
                <w:color w:val="auto"/>
              </w:rPr>
            </w:pPr>
            <w:r>
              <w:rPr>
                <w:rFonts w:ascii="Arial" w:cs="Arial" w:eastAsia="Arial" w:hAnsi="Arial"/>
                <w:sz w:val="14"/>
                <w:szCs w:val="14"/>
                <w:b w:val="1"/>
                <w:bCs w:val="1"/>
                <w:color w:val="202124"/>
              </w:rPr>
              <w:t>Total</w:t>
            </w:r>
          </w:p>
        </w:tc>
        <w:tc>
          <w:tcPr>
            <w:tcW w:w="1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b w:val="1"/>
                <w:bCs w:val="1"/>
                <w:color w:val="202124"/>
              </w:rPr>
              <w:t>—</w:t>
            </w:r>
          </w:p>
        </w:tc>
        <w:tc>
          <w:tcPr>
            <w:tcW w:w="880" w:type="dxa"/>
            <w:vAlign w:val="bottom"/>
            <w:tcBorders>
              <w:bottom w:val="single" w:sz="8" w:color="808080"/>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808080"/>
            </w:tcBorders>
          </w:tcPr>
          <w:p>
            <w:pPr>
              <w:jc w:val="right"/>
              <w:ind w:right="269"/>
              <w:spacing w:after="0"/>
              <w:rPr>
                <w:sz w:val="20"/>
                <w:szCs w:val="20"/>
                <w:color w:val="auto"/>
              </w:rPr>
            </w:pPr>
            <w:r>
              <w:rPr>
                <w:rFonts w:ascii="Arial" w:cs="Arial" w:eastAsia="Arial" w:hAnsi="Arial"/>
                <w:sz w:val="14"/>
                <w:szCs w:val="14"/>
                <w:b w:val="1"/>
                <w:bCs w:val="1"/>
                <w:color w:val="202124"/>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4"/>
                <w:szCs w:val="14"/>
                <w:b w:val="1"/>
                <w:bCs w:val="1"/>
                <w:color w:val="F37F00"/>
              </w:rPr>
              <w:t xml:space="preserve">Thomas B. Newbern </w:t>
            </w:r>
            <w:r>
              <w:rPr>
                <w:rFonts w:ascii="Arial" w:cs="Arial" w:eastAsia="Arial" w:hAnsi="Arial"/>
                <w:sz w:val="20"/>
                <w:szCs w:val="20"/>
                <w:b w:val="1"/>
                <w:bCs w:val="1"/>
                <w:color w:val="F37F00"/>
                <w:vertAlign w:val="superscript"/>
              </w:rPr>
              <w:t>(3)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Severance Pay</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1,652,000</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190,615</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Annual Incentive</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870,728</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870,728</w:t>
            </w:r>
          </w:p>
        </w:tc>
        <w:tc>
          <w:tcPr>
            <w:tcW w:w="800" w:type="dxa"/>
            <w:vAlign w:val="bottom"/>
          </w:tcPr>
          <w:p>
            <w:pPr>
              <w:jc w:val="right"/>
              <w:spacing w:after="0"/>
              <w:rPr>
                <w:sz w:val="20"/>
                <w:szCs w:val="20"/>
                <w:color w:val="auto"/>
              </w:rPr>
            </w:pPr>
            <w:r>
              <w:rPr>
                <w:rFonts w:ascii="Arial" w:cs="Arial" w:eastAsia="Arial" w:hAnsi="Arial"/>
                <w:sz w:val="14"/>
                <w:szCs w:val="14"/>
                <w:color w:val="202124"/>
              </w:rPr>
              <w:t>870,728</w:t>
            </w:r>
          </w:p>
        </w:tc>
        <w:tc>
          <w:tcPr>
            <w:tcW w:w="980" w:type="dxa"/>
            <w:vAlign w:val="bottom"/>
          </w:tcPr>
          <w:p>
            <w:pPr>
              <w:jc w:val="right"/>
              <w:spacing w:after="0"/>
              <w:rPr>
                <w:sz w:val="20"/>
                <w:szCs w:val="20"/>
                <w:color w:val="auto"/>
              </w:rPr>
            </w:pPr>
            <w:r>
              <w:rPr>
                <w:rFonts w:ascii="Arial" w:cs="Arial" w:eastAsia="Arial" w:hAnsi="Arial"/>
                <w:sz w:val="14"/>
                <w:szCs w:val="14"/>
                <w:color w:val="202124"/>
              </w:rPr>
              <w:t>870,728</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Benefits Continuation</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23,569</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3,928</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Options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2,083,339</w:t>
            </w:r>
          </w:p>
        </w:tc>
        <w:tc>
          <w:tcPr>
            <w:tcW w:w="980" w:type="dxa"/>
            <w:vAlign w:val="bottom"/>
          </w:tcPr>
          <w:p>
            <w:pPr>
              <w:jc w:val="right"/>
              <w:spacing w:after="0"/>
              <w:rPr>
                <w:sz w:val="20"/>
                <w:szCs w:val="20"/>
                <w:color w:val="auto"/>
              </w:rPr>
            </w:pPr>
            <w:r>
              <w:rPr>
                <w:rFonts w:ascii="Arial" w:cs="Arial" w:eastAsia="Arial" w:hAnsi="Arial"/>
                <w:sz w:val="14"/>
                <w:szCs w:val="14"/>
                <w:color w:val="202124"/>
              </w:rPr>
              <w:t>2,083,339</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Awards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90"/>
        </w:trPr>
        <w:tc>
          <w:tcPr>
            <w:tcW w:w="3840" w:type="dxa"/>
            <w:vAlign w:val="bottom"/>
          </w:tcPr>
          <w:p>
            <w:pPr>
              <w:ind w:left="220"/>
              <w:spacing w:after="0"/>
              <w:rPr>
                <w:sz w:val="20"/>
                <w:szCs w:val="20"/>
                <w:color w:val="auto"/>
              </w:rPr>
            </w:pPr>
            <w:r>
              <w:rPr>
                <w:rFonts w:ascii="Arial" w:cs="Arial" w:eastAsia="Arial" w:hAnsi="Arial"/>
                <w:sz w:val="14"/>
                <w:szCs w:val="14"/>
                <w:color w:val="202124"/>
              </w:rPr>
              <w:t>Disability Benefits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1,050,000</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4"/>
        </w:trPr>
        <w:tc>
          <w:tcPr>
            <w:tcW w:w="3840" w:type="dxa"/>
            <w:vAlign w:val="bottom"/>
          </w:tcPr>
          <w:p>
            <w:pPr>
              <w:ind w:left="220"/>
              <w:spacing w:after="0"/>
              <w:rPr>
                <w:sz w:val="20"/>
                <w:szCs w:val="20"/>
                <w:color w:val="auto"/>
              </w:rPr>
            </w:pPr>
            <w:r>
              <w:rPr>
                <w:rFonts w:ascii="Arial" w:cs="Arial" w:eastAsia="Arial" w:hAnsi="Arial"/>
                <w:sz w:val="14"/>
                <w:szCs w:val="14"/>
                <w:color w:val="202124"/>
              </w:rPr>
              <w:t>Life Insurance Benefits</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3,190,000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w:t>
            </w:r>
          </w:p>
        </w:tc>
      </w:tr>
      <w:tr>
        <w:trPr>
          <w:trHeight w:val="183"/>
        </w:trPr>
        <w:tc>
          <w:tcPr>
            <w:tcW w:w="3840" w:type="dxa"/>
            <w:vAlign w:val="bottom"/>
            <w:tcBorders>
              <w:bottom w:val="single" w:sz="8" w:color="808080"/>
            </w:tcBorders>
          </w:tcPr>
          <w:p>
            <w:pPr>
              <w:ind w:left="220"/>
              <w:spacing w:after="0"/>
              <w:rPr>
                <w:sz w:val="20"/>
                <w:szCs w:val="20"/>
                <w:color w:val="auto"/>
              </w:rPr>
            </w:pPr>
            <w:r>
              <w:rPr>
                <w:rFonts w:ascii="Arial" w:cs="Arial" w:eastAsia="Arial" w:hAnsi="Arial"/>
                <w:sz w:val="14"/>
                <w:szCs w:val="14"/>
                <w:b w:val="1"/>
                <w:bCs w:val="1"/>
                <w:color w:val="202124"/>
              </w:rPr>
              <w:t>Total</w:t>
            </w:r>
          </w:p>
        </w:tc>
        <w:tc>
          <w:tcPr>
            <w:tcW w:w="1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b w:val="1"/>
                <w:bCs w:val="1"/>
                <w:color w:val="202124"/>
              </w:rPr>
              <w:t>2,546,297</w:t>
            </w:r>
          </w:p>
        </w:tc>
        <w:tc>
          <w:tcPr>
            <w:tcW w:w="880" w:type="dxa"/>
            <w:vAlign w:val="bottom"/>
            <w:tcBorders>
              <w:bottom w:val="single" w:sz="8" w:color="808080"/>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808080"/>
            </w:tcBorders>
          </w:tcPr>
          <w:p>
            <w:pPr>
              <w:jc w:val="right"/>
              <w:ind w:right="269"/>
              <w:spacing w:after="0"/>
              <w:rPr>
                <w:sz w:val="20"/>
                <w:szCs w:val="20"/>
                <w:color w:val="auto"/>
              </w:rPr>
            </w:pPr>
            <w:r>
              <w:rPr>
                <w:rFonts w:ascii="Arial" w:cs="Arial" w:eastAsia="Arial" w:hAnsi="Arial"/>
                <w:sz w:val="14"/>
                <w:szCs w:val="14"/>
                <w:b w:val="1"/>
                <w:bCs w:val="1"/>
                <w:color w:val="202124"/>
              </w:rPr>
              <w:t>1,920,728</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6,338,610</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2,954,067</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4"/>
                <w:szCs w:val="14"/>
                <w:b w:val="1"/>
                <w:bCs w:val="1"/>
                <w:color w:val="F37F00"/>
              </w:rPr>
              <w:t xml:space="preserve">Eric S. Gould </w:t>
            </w:r>
            <w:r>
              <w:rPr>
                <w:rFonts w:ascii="Arial" w:cs="Arial" w:eastAsia="Arial" w:hAnsi="Arial"/>
                <w:sz w:val="20"/>
                <w:szCs w:val="20"/>
                <w:b w:val="1"/>
                <w:bCs w:val="1"/>
                <w:color w:val="F37F00"/>
                <w:vertAlign w:val="superscript"/>
              </w:rPr>
              <w:t>(3)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Severance Pay</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1,040,000</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120,000</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Annual Incentive</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412,347</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412,347</w:t>
            </w:r>
          </w:p>
        </w:tc>
        <w:tc>
          <w:tcPr>
            <w:tcW w:w="800" w:type="dxa"/>
            <w:vAlign w:val="bottom"/>
          </w:tcPr>
          <w:p>
            <w:pPr>
              <w:jc w:val="right"/>
              <w:spacing w:after="0"/>
              <w:rPr>
                <w:sz w:val="20"/>
                <w:szCs w:val="20"/>
                <w:color w:val="auto"/>
              </w:rPr>
            </w:pPr>
            <w:r>
              <w:rPr>
                <w:rFonts w:ascii="Arial" w:cs="Arial" w:eastAsia="Arial" w:hAnsi="Arial"/>
                <w:sz w:val="14"/>
                <w:szCs w:val="14"/>
                <w:color w:val="202124"/>
              </w:rPr>
              <w:t>412,347</w:t>
            </w:r>
          </w:p>
        </w:tc>
        <w:tc>
          <w:tcPr>
            <w:tcW w:w="980" w:type="dxa"/>
            <w:vAlign w:val="bottom"/>
          </w:tcPr>
          <w:p>
            <w:pPr>
              <w:jc w:val="right"/>
              <w:spacing w:after="0"/>
              <w:rPr>
                <w:sz w:val="20"/>
                <w:szCs w:val="20"/>
                <w:color w:val="auto"/>
              </w:rPr>
            </w:pPr>
            <w:r>
              <w:rPr>
                <w:rFonts w:ascii="Arial" w:cs="Arial" w:eastAsia="Arial" w:hAnsi="Arial"/>
                <w:sz w:val="14"/>
                <w:szCs w:val="14"/>
                <w:color w:val="202124"/>
              </w:rPr>
              <w:t>412,347</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Benefits Continuation</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23,573</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3,929</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Options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1,535,292</w:t>
            </w:r>
          </w:p>
        </w:tc>
        <w:tc>
          <w:tcPr>
            <w:tcW w:w="980" w:type="dxa"/>
            <w:vAlign w:val="bottom"/>
          </w:tcPr>
          <w:p>
            <w:pPr>
              <w:jc w:val="right"/>
              <w:spacing w:after="0"/>
              <w:rPr>
                <w:sz w:val="20"/>
                <w:szCs w:val="20"/>
                <w:color w:val="auto"/>
              </w:rPr>
            </w:pPr>
            <w:r>
              <w:rPr>
                <w:rFonts w:ascii="Arial" w:cs="Arial" w:eastAsia="Arial" w:hAnsi="Arial"/>
                <w:sz w:val="14"/>
                <w:szCs w:val="14"/>
                <w:color w:val="202124"/>
              </w:rPr>
              <w:t>1,535,292</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Awards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90"/>
        </w:trPr>
        <w:tc>
          <w:tcPr>
            <w:tcW w:w="3840" w:type="dxa"/>
            <w:vAlign w:val="bottom"/>
          </w:tcPr>
          <w:p>
            <w:pPr>
              <w:ind w:left="220"/>
              <w:spacing w:after="0"/>
              <w:rPr>
                <w:sz w:val="20"/>
                <w:szCs w:val="20"/>
                <w:color w:val="auto"/>
              </w:rPr>
            </w:pPr>
            <w:r>
              <w:rPr>
                <w:rFonts w:ascii="Arial" w:cs="Arial" w:eastAsia="Arial" w:hAnsi="Arial"/>
                <w:sz w:val="14"/>
                <w:szCs w:val="14"/>
                <w:color w:val="202124"/>
              </w:rPr>
              <w:t>Disability Benefits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3,480,000</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4"/>
        </w:trPr>
        <w:tc>
          <w:tcPr>
            <w:tcW w:w="3840" w:type="dxa"/>
            <w:vAlign w:val="bottom"/>
          </w:tcPr>
          <w:p>
            <w:pPr>
              <w:ind w:left="220"/>
              <w:spacing w:after="0"/>
              <w:rPr>
                <w:sz w:val="20"/>
                <w:szCs w:val="20"/>
                <w:color w:val="auto"/>
              </w:rPr>
            </w:pPr>
            <w:r>
              <w:rPr>
                <w:rFonts w:ascii="Arial" w:cs="Arial" w:eastAsia="Arial" w:hAnsi="Arial"/>
                <w:sz w:val="14"/>
                <w:szCs w:val="14"/>
                <w:color w:val="202124"/>
              </w:rPr>
              <w:t>Life Insurance Benefits</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1,342,000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w:t>
            </w:r>
          </w:p>
        </w:tc>
      </w:tr>
      <w:tr>
        <w:trPr>
          <w:trHeight w:val="182"/>
        </w:trPr>
        <w:tc>
          <w:tcPr>
            <w:tcW w:w="3840" w:type="dxa"/>
            <w:vAlign w:val="bottom"/>
            <w:tcBorders>
              <w:bottom w:val="single" w:sz="8" w:color="808080"/>
            </w:tcBorders>
          </w:tcPr>
          <w:p>
            <w:pPr>
              <w:ind w:left="220"/>
              <w:spacing w:after="0"/>
              <w:rPr>
                <w:sz w:val="20"/>
                <w:szCs w:val="20"/>
                <w:color w:val="auto"/>
              </w:rPr>
            </w:pPr>
            <w:r>
              <w:rPr>
                <w:rFonts w:ascii="Arial" w:cs="Arial" w:eastAsia="Arial" w:hAnsi="Arial"/>
                <w:sz w:val="14"/>
                <w:szCs w:val="14"/>
                <w:b w:val="1"/>
                <w:bCs w:val="1"/>
                <w:color w:val="202124"/>
              </w:rPr>
              <w:t>Total</w:t>
            </w:r>
          </w:p>
        </w:tc>
        <w:tc>
          <w:tcPr>
            <w:tcW w:w="1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b w:val="1"/>
                <w:bCs w:val="1"/>
                <w:color w:val="202124"/>
              </w:rPr>
              <w:t>1,475,920</w:t>
            </w:r>
          </w:p>
        </w:tc>
        <w:tc>
          <w:tcPr>
            <w:tcW w:w="880" w:type="dxa"/>
            <w:vAlign w:val="bottom"/>
            <w:tcBorders>
              <w:bottom w:val="single" w:sz="8" w:color="808080"/>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808080"/>
            </w:tcBorders>
          </w:tcPr>
          <w:p>
            <w:pPr>
              <w:jc w:val="right"/>
              <w:ind w:right="269"/>
              <w:spacing w:after="0"/>
              <w:rPr>
                <w:sz w:val="20"/>
                <w:szCs w:val="20"/>
                <w:color w:val="auto"/>
              </w:rPr>
            </w:pPr>
            <w:r>
              <w:rPr>
                <w:rFonts w:ascii="Arial" w:cs="Arial" w:eastAsia="Arial" w:hAnsi="Arial"/>
                <w:sz w:val="14"/>
                <w:szCs w:val="14"/>
                <w:b w:val="1"/>
                <w:bCs w:val="1"/>
                <w:color w:val="202124"/>
              </w:rPr>
              <w:t>3,892,347</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3,413,568</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202124"/>
              </w:rPr>
              <w:t>1,947,639</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4"/>
                <w:szCs w:val="14"/>
                <w:b w:val="1"/>
                <w:bCs w:val="1"/>
                <w:color w:val="F37F00"/>
              </w:rPr>
              <w:t xml:space="preserve">Kenneth E. Jaycox, Jr. </w:t>
            </w:r>
            <w:r>
              <w:rPr>
                <w:rFonts w:ascii="Arial" w:cs="Arial" w:eastAsia="Arial" w:hAnsi="Arial"/>
                <w:sz w:val="20"/>
                <w:szCs w:val="20"/>
                <w:b w:val="1"/>
                <w:bCs w:val="1"/>
                <w:color w:val="F37F00"/>
                <w:vertAlign w:val="superscript"/>
              </w:rPr>
              <w:t>(3)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Severance Pay</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765,000</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117,692</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Annual Incentive</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322,558</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322,558</w:t>
            </w:r>
          </w:p>
        </w:tc>
        <w:tc>
          <w:tcPr>
            <w:tcW w:w="800" w:type="dxa"/>
            <w:vAlign w:val="bottom"/>
          </w:tcPr>
          <w:p>
            <w:pPr>
              <w:jc w:val="right"/>
              <w:spacing w:after="0"/>
              <w:rPr>
                <w:sz w:val="20"/>
                <w:szCs w:val="20"/>
                <w:color w:val="auto"/>
              </w:rPr>
            </w:pPr>
            <w:r>
              <w:rPr>
                <w:rFonts w:ascii="Arial" w:cs="Arial" w:eastAsia="Arial" w:hAnsi="Arial"/>
                <w:sz w:val="14"/>
                <w:szCs w:val="14"/>
                <w:color w:val="202124"/>
              </w:rPr>
              <w:t>322,558</w:t>
            </w:r>
          </w:p>
        </w:tc>
        <w:tc>
          <w:tcPr>
            <w:tcW w:w="980" w:type="dxa"/>
            <w:vAlign w:val="bottom"/>
          </w:tcPr>
          <w:p>
            <w:pPr>
              <w:jc w:val="right"/>
              <w:spacing w:after="0"/>
              <w:rPr>
                <w:sz w:val="20"/>
                <w:szCs w:val="20"/>
                <w:color w:val="auto"/>
              </w:rPr>
            </w:pPr>
            <w:r>
              <w:rPr>
                <w:rFonts w:ascii="Arial" w:cs="Arial" w:eastAsia="Arial" w:hAnsi="Arial"/>
                <w:sz w:val="14"/>
                <w:szCs w:val="14"/>
                <w:color w:val="202124"/>
              </w:rPr>
              <w:t>322,558</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Benefits Continuation</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24,976</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4,163</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Options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9"/>
        </w:trPr>
        <w:tc>
          <w:tcPr>
            <w:tcW w:w="3840" w:type="dxa"/>
            <w:vAlign w:val="bottom"/>
          </w:tcPr>
          <w:p>
            <w:pPr>
              <w:ind w:left="220"/>
              <w:spacing w:after="0"/>
              <w:rPr>
                <w:sz w:val="20"/>
                <w:szCs w:val="20"/>
                <w:color w:val="auto"/>
              </w:rPr>
            </w:pPr>
            <w:r>
              <w:rPr>
                <w:rFonts w:ascii="Arial" w:cs="Arial" w:eastAsia="Arial" w:hAnsi="Arial"/>
                <w:sz w:val="14"/>
                <w:szCs w:val="14"/>
                <w:color w:val="202124"/>
              </w:rPr>
              <w:t>Unvested Stock Awards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5,005,712</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90"/>
        </w:trPr>
        <w:tc>
          <w:tcPr>
            <w:tcW w:w="3840" w:type="dxa"/>
            <w:vAlign w:val="bottom"/>
          </w:tcPr>
          <w:p>
            <w:pPr>
              <w:ind w:left="220"/>
              <w:spacing w:after="0"/>
              <w:rPr>
                <w:sz w:val="20"/>
                <w:szCs w:val="20"/>
                <w:color w:val="auto"/>
              </w:rPr>
            </w:pPr>
            <w:r>
              <w:rPr>
                <w:rFonts w:ascii="Arial" w:cs="Arial" w:eastAsia="Arial" w:hAnsi="Arial"/>
                <w:sz w:val="14"/>
                <w:szCs w:val="14"/>
                <w:color w:val="202124"/>
              </w:rPr>
              <w:t>Disability Benefits</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Pr>
          <w:p>
            <w:pPr>
              <w:jc w:val="right"/>
              <w:ind w:right="269"/>
              <w:spacing w:after="0"/>
              <w:rPr>
                <w:sz w:val="20"/>
                <w:szCs w:val="20"/>
                <w:color w:val="auto"/>
              </w:rPr>
            </w:pPr>
            <w:r>
              <w:rPr>
                <w:rFonts w:ascii="Arial" w:cs="Arial" w:eastAsia="Arial" w:hAnsi="Arial"/>
                <w:sz w:val="14"/>
                <w:szCs w:val="14"/>
                <w:color w:val="202124"/>
              </w:rPr>
              <w:t>2,970,000</w:t>
            </w:r>
          </w:p>
        </w:tc>
        <w:tc>
          <w:tcPr>
            <w:tcW w:w="800" w:type="dxa"/>
            <w:vAlign w:val="bottom"/>
          </w:tcPr>
          <w:p>
            <w:pPr>
              <w:jc w:val="right"/>
              <w:spacing w:after="0"/>
              <w:rPr>
                <w:sz w:val="20"/>
                <w:szCs w:val="20"/>
                <w:color w:val="auto"/>
              </w:rPr>
            </w:pPr>
            <w:r>
              <w:rPr>
                <w:rFonts w:ascii="Arial" w:cs="Arial" w:eastAsia="Arial" w:hAnsi="Arial"/>
                <w:sz w:val="14"/>
                <w:szCs w:val="14"/>
                <w:color w:val="202124"/>
              </w:rPr>
              <w:t>—</w:t>
            </w:r>
          </w:p>
        </w:tc>
        <w:tc>
          <w:tcPr>
            <w:tcW w:w="980" w:type="dxa"/>
            <w:vAlign w:val="bottom"/>
          </w:tcPr>
          <w:p>
            <w:pPr>
              <w:jc w:val="right"/>
              <w:spacing w:after="0"/>
              <w:rPr>
                <w:sz w:val="20"/>
                <w:szCs w:val="20"/>
                <w:color w:val="auto"/>
              </w:rPr>
            </w:pPr>
            <w:r>
              <w:rPr>
                <w:rFonts w:ascii="Arial" w:cs="Arial" w:eastAsia="Arial" w:hAnsi="Arial"/>
                <w:sz w:val="14"/>
                <w:szCs w:val="14"/>
                <w:color w:val="202124"/>
              </w:rPr>
              <w:t>—</w:t>
            </w:r>
          </w:p>
        </w:tc>
      </w:tr>
      <w:tr>
        <w:trPr>
          <w:trHeight w:val="184"/>
        </w:trPr>
        <w:tc>
          <w:tcPr>
            <w:tcW w:w="3840" w:type="dxa"/>
            <w:vAlign w:val="bottom"/>
          </w:tcPr>
          <w:p>
            <w:pPr>
              <w:ind w:left="220"/>
              <w:spacing w:after="0"/>
              <w:rPr>
                <w:sz w:val="20"/>
                <w:szCs w:val="20"/>
                <w:color w:val="auto"/>
              </w:rPr>
            </w:pPr>
            <w:r>
              <w:rPr>
                <w:rFonts w:ascii="Arial" w:cs="Arial" w:eastAsia="Arial" w:hAnsi="Arial"/>
                <w:sz w:val="14"/>
                <w:szCs w:val="14"/>
                <w:color w:val="202124"/>
              </w:rPr>
              <w:t>Life Insurance Benefits</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202124"/>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0212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1,584,000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02124"/>
              </w:rPr>
              <w:t>—</w:t>
            </w:r>
          </w:p>
        </w:tc>
      </w:tr>
      <w:tr>
        <w:trPr>
          <w:trHeight w:val="190"/>
        </w:trPr>
        <w:tc>
          <w:tcPr>
            <w:tcW w:w="3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202124"/>
              </w:rPr>
              <w:t>Total</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02124"/>
              </w:rPr>
              <w:t>—</w:t>
            </w:r>
          </w:p>
        </w:tc>
        <w:tc>
          <w:tcPr>
            <w:tcW w:w="12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202124"/>
              </w:rPr>
              <w:t>1,112,534</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02124"/>
              </w:rPr>
              <w:t>—</w:t>
            </w: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202124"/>
              </w:rPr>
              <w:t>8,298,270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02124"/>
              </w:rPr>
              <w:t>2,028,413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02124"/>
              </w:rPr>
              <w:t>322,558</w:t>
            </w:r>
          </w:p>
        </w:tc>
      </w:tr>
    </w:tbl>
    <w:p>
      <w:pPr>
        <w:spacing w:after="0" w:line="40" w:lineRule="exact"/>
        <w:rPr>
          <w:sz w:val="20"/>
          <w:szCs w:val="20"/>
          <w:color w:val="auto"/>
        </w:rPr>
      </w:pPr>
    </w:p>
    <w:p>
      <w:pPr>
        <w:ind w:left="960" w:right="20" w:hanging="316"/>
        <w:spacing w:after="0" w:line="238" w:lineRule="auto"/>
        <w:tabs>
          <w:tab w:leader="none" w:pos="960" w:val="left"/>
        </w:tabs>
        <w:numPr>
          <w:ilvl w:val="0"/>
          <w:numId w:val="97"/>
        </w:numPr>
        <w:rPr>
          <w:rFonts w:ascii="Arial" w:cs="Arial" w:eastAsia="Arial" w:hAnsi="Arial"/>
          <w:sz w:val="12"/>
          <w:szCs w:val="12"/>
          <w:color w:val="202124"/>
        </w:rPr>
      </w:pPr>
      <w:r>
        <w:rPr>
          <w:rFonts w:ascii="Arial" w:cs="Arial" w:eastAsia="Arial" w:hAnsi="Arial"/>
          <w:sz w:val="16"/>
          <w:szCs w:val="16"/>
          <w:color w:val="202124"/>
        </w:rPr>
        <w:t>Severance Pay, Annual Incentive and Benefits Continuation amounts shown under the “Involuntary Termination Not for Cause” column reflect the terms of Mr. Daniele’s Agreement described above. Unvested stock options are those outstanding, unvested stock options which will vest immediately upon the option holder’s death, as well as, under the stock option agreement beginning in October 2022 which states under retirement which is when the Participant has (i) attained age 55 and (ii) completed at least</w:t>
      </w:r>
    </w:p>
    <w:p>
      <w:pPr>
        <w:spacing w:after="0" w:line="1" w:lineRule="exact"/>
        <w:rPr>
          <w:rFonts w:ascii="Arial" w:cs="Arial" w:eastAsia="Arial" w:hAnsi="Arial"/>
          <w:sz w:val="12"/>
          <w:szCs w:val="12"/>
          <w:color w:val="202124"/>
        </w:rPr>
      </w:pPr>
    </w:p>
    <w:p>
      <w:pPr>
        <w:ind w:left="960" w:right="40"/>
        <w:spacing w:after="0" w:line="239" w:lineRule="auto"/>
        <w:rPr>
          <w:rFonts w:ascii="Arial" w:cs="Arial" w:eastAsia="Arial" w:hAnsi="Arial"/>
          <w:sz w:val="12"/>
          <w:szCs w:val="12"/>
          <w:color w:val="202124"/>
        </w:rPr>
      </w:pPr>
      <w:r>
        <w:rPr>
          <w:rFonts w:ascii="Arial" w:cs="Arial" w:eastAsia="Arial" w:hAnsi="Arial"/>
          <w:sz w:val="16"/>
          <w:szCs w:val="16"/>
          <w:color w:val="202124"/>
        </w:rPr>
        <w:t>15 years of service with the Company. In fiscal year 2022 (“FY22”), the company added 12 weeks of salary continuation for all full-time U.S. AutoZoners with one-year of service in the event of death. Unvested stock awards are shares under the Executive Stock Purchase Plan, which vest upon involuntary termination not for cause, disability, or death. Annual Incentive is shown at actual annual incentive amount for the 2026 fiscal year; it would be prorated if the triggering event occurred other than on the last day of the fiscal year. Disability Benefits are benefits under a Company-paid individual long-term disability insurance policy. Life Insurance Benefits are benefits under a Company-paid life insurance policy.</w:t>
      </w:r>
    </w:p>
    <w:p>
      <w:pPr>
        <w:spacing w:after="0" w:line="5" w:lineRule="exact"/>
        <w:rPr>
          <w:rFonts w:ascii="Arial" w:cs="Arial" w:eastAsia="Arial" w:hAnsi="Arial"/>
          <w:sz w:val="12"/>
          <w:szCs w:val="12"/>
          <w:color w:val="202124"/>
        </w:rPr>
      </w:pPr>
    </w:p>
    <w:p>
      <w:pPr>
        <w:ind w:left="960" w:hanging="316"/>
        <w:spacing w:after="0"/>
        <w:tabs>
          <w:tab w:leader="none" w:pos="960" w:val="left"/>
        </w:tabs>
        <w:numPr>
          <w:ilvl w:val="0"/>
          <w:numId w:val="97"/>
        </w:numPr>
        <w:rPr>
          <w:rFonts w:ascii="Arial" w:cs="Arial" w:eastAsia="Arial" w:hAnsi="Arial"/>
          <w:sz w:val="12"/>
          <w:szCs w:val="12"/>
          <w:color w:val="202124"/>
        </w:rPr>
      </w:pPr>
      <w:r>
        <w:rPr>
          <w:rFonts w:ascii="Arial" w:cs="Arial" w:eastAsia="Arial" w:hAnsi="Arial"/>
          <w:sz w:val="16"/>
          <w:szCs w:val="16"/>
          <w:color w:val="202124"/>
        </w:rPr>
        <w:t>Mr. Jackson resigned as Chief Financial Officer effective November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68   </w:t>
      </w:r>
      <w:r>
        <w:rPr>
          <w:sz w:val="1"/>
          <w:szCs w:val="1"/>
          <w:color w:val="auto"/>
        </w:rPr>
        <w:drawing>
          <wp:inline distT="0" distB="0" distL="0" distR="0">
            <wp:extent cx="116586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71" w:name="page72"/>
    <w:bookmarkEnd w:id="7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60" w:right="20" w:hanging="316"/>
        <w:spacing w:after="0" w:line="238" w:lineRule="auto"/>
        <w:tabs>
          <w:tab w:leader="none" w:pos="960" w:val="left"/>
        </w:tabs>
        <w:numPr>
          <w:ilvl w:val="0"/>
          <w:numId w:val="98"/>
        </w:numPr>
        <w:rPr>
          <w:rFonts w:ascii="Arial" w:cs="Arial" w:eastAsia="Arial" w:hAnsi="Arial"/>
          <w:sz w:val="24"/>
          <w:szCs w:val="24"/>
          <w:color w:val="202124"/>
          <w:vertAlign w:val="superscript"/>
        </w:rPr>
      </w:pPr>
      <w:r>
        <w:rPr>
          <w:rFonts w:ascii="Arial" w:cs="Arial" w:eastAsia="Arial" w:hAnsi="Arial"/>
          <w:sz w:val="16"/>
          <w:szCs w:val="16"/>
          <w:color w:val="202124"/>
        </w:rPr>
        <w:t>Severance Pay, Annual Incentive and Benefits Continuation amounts shown under the “Involuntary Termination Not for Cause” column reflect payments to Mr. Newbern, Mr. Gould and Mr. Jaycox under the Severance and Non-Compete Agreements described above. Annual Incentive is shown at actual annual incentive amount for the 2026 fiscal year; it would be prorated if the triggering event occurred other than on the last day of the fiscal year. Benefits Continuation refers to medical, dental and vision benefits. The company added 12 weeks of salary continuation for all full-time U.S. AutoZoners with one-year of service in the event of death. Unvested stock options are those outstanding, unvested stock options which will vest immediately upon the option holder’s death, as well as, under the stock option agreement beginning in October 2022 which states under retirement which is when the Participant has (i) attained age 55 and (ii) completed at least 15 years of service with the Company. Unvested stock awards are share options under the Executive Stock Purchase Plan, which vest upon involuntary termination not for cause, disability, or death. Disability Benefits are benefits under a Company-paid individual long-term disability insurance policy. Life Insurance Benefits are benefits under a Company-paid life insurance policy.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PAY RATIO DISCLOSURE</w:t>
      </w:r>
    </w:p>
    <w:p>
      <w:pPr>
        <w:spacing w:after="0" w:line="77" w:lineRule="exact"/>
        <w:rPr>
          <w:sz w:val="20"/>
          <w:szCs w:val="20"/>
          <w:color w:val="auto"/>
        </w:rPr>
      </w:pPr>
    </w:p>
    <w:p>
      <w:pPr>
        <w:ind w:left="640" w:right="100"/>
        <w:spacing w:after="0" w:line="247" w:lineRule="auto"/>
        <w:rPr>
          <w:sz w:val="20"/>
          <w:szCs w:val="20"/>
          <w:color w:val="auto"/>
        </w:rPr>
      </w:pPr>
      <w:r>
        <w:rPr>
          <w:rFonts w:ascii="Arial" w:cs="Arial" w:eastAsia="Arial" w:hAnsi="Arial"/>
          <w:sz w:val="18"/>
          <w:szCs w:val="18"/>
          <w:color w:val="202124"/>
        </w:rPr>
        <w:t>Pursuant to Item 402(u) of Regulation S-K, we have conducted an analysis of our global AutoZoner population in order to estimate and disclose the total compensation paid to our median employee, not including our CEO, as well as the ratio of the total compensation paid to said median employee as compared to the total compensation paid to our CEO. The analysis, which is described below, yielded the following results:</w:t>
      </w:r>
    </w:p>
    <w:p>
      <w:pPr>
        <w:spacing w:after="0" w:line="228" w:lineRule="exact"/>
        <w:rPr>
          <w:sz w:val="20"/>
          <w:szCs w:val="20"/>
          <w:color w:val="auto"/>
        </w:rPr>
      </w:pPr>
    </w:p>
    <w:tbl>
      <w:tblPr>
        <w:tblLayout w:type="fixed"/>
        <w:tblInd w:w="1620" w:type="dxa"/>
        <w:tblCellMar>
          <w:top w:w="0" w:type="dxa"/>
          <w:left w:w="0" w:type="dxa"/>
          <w:bottom w:w="0" w:type="dxa"/>
          <w:right w:w="0" w:type="dxa"/>
        </w:tblCellMar>
      </w:tblPr>
      <w:tr>
        <w:trPr>
          <w:trHeight w:val="221"/>
        </w:trPr>
        <w:tc>
          <w:tcPr>
            <w:tcW w:w="522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Total compensation for the median employee</w:t>
            </w:r>
          </w:p>
        </w:tc>
        <w:tc>
          <w:tcPr>
            <w:tcW w:w="1560" w:type="dxa"/>
            <w:vAlign w:val="bottom"/>
            <w:tcBorders>
              <w:bottom w:val="single" w:sz="8" w:color="808080"/>
            </w:tcBorders>
          </w:tcPr>
          <w:p>
            <w:pPr>
              <w:jc w:val="right"/>
              <w:ind w:right="10"/>
              <w:spacing w:after="0"/>
              <w:rPr>
                <w:sz w:val="20"/>
                <w:szCs w:val="20"/>
                <w:color w:val="auto"/>
              </w:rPr>
            </w:pPr>
            <w:r>
              <w:rPr>
                <w:rFonts w:ascii="Arial" w:cs="Arial" w:eastAsia="Arial" w:hAnsi="Arial"/>
                <w:sz w:val="18"/>
                <w:szCs w:val="18"/>
                <w:color w:val="202124"/>
              </w:rPr>
              <w:t>​​​</w:t>
            </w:r>
          </w:p>
        </w:tc>
        <w:tc>
          <w:tcPr>
            <w:tcW w:w="1000" w:type="dxa"/>
            <w:vAlign w:val="bottom"/>
            <w:tcBorders>
              <w:bottom w:val="single" w:sz="8" w:color="808080"/>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8"/>
                <w:szCs w:val="18"/>
                <w:color w:val="202124"/>
              </w:rPr>
              <w:t>​</w:t>
            </w:r>
          </w:p>
        </w:tc>
      </w:tr>
      <w:tr>
        <w:trPr>
          <w:trHeight w:val="237"/>
        </w:trPr>
        <w:tc>
          <w:tcPr>
            <w:tcW w:w="5220" w:type="dxa"/>
            <w:vAlign w:val="bottom"/>
            <w:tcBorders>
              <w:bottom w:val="single" w:sz="8" w:color="808080"/>
            </w:tcBorders>
          </w:tcPr>
          <w:p>
            <w:pPr>
              <w:ind w:left="220"/>
              <w:spacing w:after="0"/>
              <w:rPr>
                <w:sz w:val="20"/>
                <w:szCs w:val="20"/>
                <w:color w:val="auto"/>
              </w:rPr>
            </w:pPr>
            <w:r>
              <w:rPr>
                <w:rFonts w:ascii="Arial" w:cs="Arial" w:eastAsia="Arial" w:hAnsi="Arial"/>
                <w:sz w:val="18"/>
                <w:szCs w:val="18"/>
                <w:color w:val="202124"/>
              </w:rPr>
              <w:t>for fiscal 2026 (not including the CEO):</w:t>
            </w:r>
          </w:p>
        </w:tc>
        <w:tc>
          <w:tcPr>
            <w:tcW w:w="1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29,450</w:t>
            </w:r>
          </w:p>
        </w:tc>
        <w:tc>
          <w:tcPr>
            <w:tcW w:w="40" w:type="dxa"/>
            <w:vAlign w:val="bottom"/>
          </w:tcPr>
          <w:p>
            <w:pPr>
              <w:spacing w:after="0"/>
              <w:rPr>
                <w:sz w:val="20"/>
                <w:szCs w:val="20"/>
                <w:color w:val="auto"/>
              </w:rPr>
            </w:pPr>
          </w:p>
        </w:tc>
      </w:tr>
      <w:tr>
        <w:trPr>
          <w:trHeight w:val="237"/>
        </w:trPr>
        <w:tc>
          <w:tcPr>
            <w:tcW w:w="522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Total compensation for the CEO:</w:t>
            </w:r>
          </w:p>
        </w:tc>
        <w:tc>
          <w:tcPr>
            <w:tcW w:w="1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11,236,964</w:t>
            </w:r>
          </w:p>
        </w:tc>
        <w:tc>
          <w:tcPr>
            <w:tcW w:w="40" w:type="dxa"/>
            <w:vAlign w:val="bottom"/>
          </w:tcPr>
          <w:p>
            <w:pPr>
              <w:spacing w:after="0"/>
              <w:rPr>
                <w:sz w:val="20"/>
                <w:szCs w:val="20"/>
                <w:color w:val="auto"/>
              </w:rPr>
            </w:pPr>
          </w:p>
        </w:tc>
      </w:tr>
      <w:tr>
        <w:trPr>
          <w:trHeight w:val="217"/>
        </w:trPr>
        <w:tc>
          <w:tcPr>
            <w:tcW w:w="5220" w:type="dxa"/>
            <w:vAlign w:val="bottom"/>
            <w:tcBorders>
              <w:bottom w:val="single" w:sz="8" w:color="202124"/>
            </w:tcBorders>
          </w:tcPr>
          <w:p>
            <w:pPr>
              <w:spacing w:after="0" w:line="196" w:lineRule="exact"/>
              <w:rPr>
                <w:sz w:val="20"/>
                <w:szCs w:val="20"/>
                <w:color w:val="auto"/>
              </w:rPr>
            </w:pPr>
            <w:r>
              <w:rPr>
                <w:rFonts w:ascii="Arial" w:cs="Arial" w:eastAsia="Arial" w:hAnsi="Arial"/>
                <w:sz w:val="18"/>
                <w:szCs w:val="18"/>
                <w:b w:val="1"/>
                <w:bCs w:val="1"/>
                <w:color w:val="202124"/>
              </w:rPr>
              <w:t>Resulting CEO-to-median employee pay ratio:</w:t>
            </w:r>
          </w:p>
        </w:tc>
        <w:tc>
          <w:tcPr>
            <w:tcW w:w="1560" w:type="dxa"/>
            <w:vAlign w:val="bottom"/>
            <w:tcBorders>
              <w:bottom w:val="single" w:sz="8" w:color="202124"/>
            </w:tcBorders>
          </w:tcPr>
          <w:p>
            <w:pPr>
              <w:spacing w:after="0"/>
              <w:rPr>
                <w:sz w:val="18"/>
                <w:szCs w:val="18"/>
                <w:color w:val="auto"/>
              </w:rPr>
            </w:pPr>
          </w:p>
        </w:tc>
        <w:tc>
          <w:tcPr>
            <w:tcW w:w="1000" w:type="dxa"/>
            <w:vAlign w:val="bottom"/>
            <w:tcBorders>
              <w:bottom w:val="single" w:sz="8" w:color="202124"/>
            </w:tcBorders>
          </w:tcPr>
          <w:p>
            <w:pPr>
              <w:jc w:val="right"/>
              <w:spacing w:after="0" w:line="196" w:lineRule="exact"/>
              <w:rPr>
                <w:sz w:val="20"/>
                <w:szCs w:val="20"/>
                <w:color w:val="auto"/>
              </w:rPr>
            </w:pPr>
            <w:r>
              <w:rPr>
                <w:rFonts w:ascii="Arial" w:cs="Arial" w:eastAsia="Arial" w:hAnsi="Arial"/>
                <w:sz w:val="18"/>
                <w:szCs w:val="18"/>
                <w:b w:val="1"/>
                <w:bCs w:val="1"/>
                <w:color w:val="202124"/>
              </w:rPr>
              <w:t>381:1</w:t>
            </w:r>
          </w:p>
        </w:tc>
        <w:tc>
          <w:tcPr>
            <w:tcW w:w="40" w:type="dxa"/>
            <w:vAlign w:val="bottom"/>
          </w:tcPr>
          <w:p>
            <w:pPr>
              <w:spacing w:after="0"/>
              <w:rPr>
                <w:sz w:val="18"/>
                <w:szCs w:val="18"/>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202124"/>
        </w:rPr>
        <w:t xml:space="preserve">Measurement date. </w:t>
      </w:r>
      <w:r>
        <w:rPr>
          <w:rFonts w:ascii="Arial" w:cs="Arial" w:eastAsia="Arial" w:hAnsi="Arial"/>
          <w:sz w:val="18"/>
          <w:szCs w:val="18"/>
          <w:color w:val="202124"/>
        </w:rPr>
        <w:t>We identified the median employee from our population as of June 30, 2026.</w:t>
      </w:r>
    </w:p>
    <w:p>
      <w:pPr>
        <w:spacing w:after="0" w:line="63" w:lineRule="exact"/>
        <w:rPr>
          <w:sz w:val="20"/>
          <w:szCs w:val="20"/>
          <w:color w:val="auto"/>
        </w:rPr>
      </w:pPr>
    </w:p>
    <w:p>
      <w:pPr>
        <w:ind w:left="640" w:right="40"/>
        <w:spacing w:after="0"/>
        <w:rPr>
          <w:sz w:val="20"/>
          <w:szCs w:val="20"/>
          <w:color w:val="auto"/>
        </w:rPr>
      </w:pPr>
      <w:r>
        <w:rPr>
          <w:rFonts w:ascii="Arial" w:cs="Arial" w:eastAsia="Arial" w:hAnsi="Arial"/>
          <w:sz w:val="18"/>
          <w:szCs w:val="18"/>
          <w:i w:val="1"/>
          <w:iCs w:val="1"/>
          <w:color w:val="202124"/>
        </w:rPr>
        <w:t xml:space="preserve">Compensation measure. </w:t>
      </w:r>
      <w:r>
        <w:rPr>
          <w:rFonts w:ascii="Arial" w:cs="Arial" w:eastAsia="Arial" w:hAnsi="Arial"/>
          <w:sz w:val="18"/>
          <w:szCs w:val="18"/>
          <w:color w:val="202124"/>
        </w:rPr>
        <w:t>The regulations require us to use a “consistently applied compensation measure”, or CACM, to</w:t>
      </w:r>
      <w:r>
        <w:rPr>
          <w:rFonts w:ascii="Arial" w:cs="Arial" w:eastAsia="Arial" w:hAnsi="Arial"/>
          <w:sz w:val="18"/>
          <w:szCs w:val="18"/>
          <w:i w:val="1"/>
          <w:iCs w:val="1"/>
          <w:color w:val="202124"/>
        </w:rPr>
        <w:t xml:space="preserve"> </w:t>
      </w:r>
      <w:r>
        <w:rPr>
          <w:rFonts w:ascii="Arial" w:cs="Arial" w:eastAsia="Arial" w:hAnsi="Arial"/>
          <w:sz w:val="18"/>
          <w:szCs w:val="18"/>
          <w:color w:val="202124"/>
        </w:rPr>
        <w:t>identify the median employee. Based on an analysis of the AutoZone workforce, we determined that fixed or guaranteed compensation, including overtime and earnings for paid time off, plus variable compensation (e.g., bonus or commission pay) closely approximate the annual total direct compensation of our employees. We converted the earnings paid in local (non-U.S.) currency to U.S. dollars using published exchange rates as of June 30, 2026. We did not apply pay adjustments allowed by the rules in order to ensure a conservative estimate (i.e., it is unlikely that the estimate could have been higher than that calculated).</w:t>
      </w:r>
    </w:p>
    <w:p>
      <w:pPr>
        <w:spacing w:after="0" w:line="36" w:lineRule="exact"/>
        <w:rPr>
          <w:sz w:val="20"/>
          <w:szCs w:val="20"/>
          <w:color w:val="auto"/>
        </w:rPr>
      </w:pPr>
    </w:p>
    <w:p>
      <w:pPr>
        <w:ind w:left="640" w:right="120"/>
        <w:spacing w:after="0" w:line="253" w:lineRule="auto"/>
        <w:rPr>
          <w:sz w:val="20"/>
          <w:szCs w:val="20"/>
          <w:color w:val="auto"/>
        </w:rPr>
      </w:pPr>
      <w:r>
        <w:rPr>
          <w:rFonts w:ascii="Arial" w:cs="Arial" w:eastAsia="Arial" w:hAnsi="Arial"/>
          <w:sz w:val="18"/>
          <w:szCs w:val="18"/>
          <w:i w:val="1"/>
          <w:iCs w:val="1"/>
          <w:color w:val="202124"/>
        </w:rPr>
        <w:t xml:space="preserve">Excluded population. </w:t>
      </w:r>
      <w:r>
        <w:rPr>
          <w:rFonts w:ascii="Arial" w:cs="Arial" w:eastAsia="Arial" w:hAnsi="Arial"/>
          <w:sz w:val="18"/>
          <w:szCs w:val="18"/>
          <w:color w:val="202124"/>
        </w:rPr>
        <w:t>We excluded from the analysis AutoZoners in Brazil, Canada, China, France, Germany, India,</w:t>
      </w:r>
      <w:r>
        <w:rPr>
          <w:rFonts w:ascii="Arial" w:cs="Arial" w:eastAsia="Arial" w:hAnsi="Arial"/>
          <w:sz w:val="18"/>
          <w:szCs w:val="18"/>
          <w:i w:val="1"/>
          <w:iCs w:val="1"/>
          <w:color w:val="202124"/>
        </w:rPr>
        <w:t xml:space="preserve"> </w:t>
      </w:r>
      <w:r>
        <w:rPr>
          <w:rFonts w:ascii="Arial" w:cs="Arial" w:eastAsia="Arial" w:hAnsi="Arial"/>
          <w:sz w:val="18"/>
          <w:szCs w:val="18"/>
          <w:color w:val="202124"/>
        </w:rPr>
        <w:t>Taiwan, Turkey and the United Kingdom, pursuant to the de minimis exemption under the rules. The 2,770 AutoZoners in these locations represent less than 5% of the total employee population of 132,704 as of June 30, 2026.</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PAY VERSUS PERFORMANCE</w:t>
      </w:r>
    </w:p>
    <w:p>
      <w:pPr>
        <w:spacing w:after="0" w:line="63" w:lineRule="exact"/>
        <w:rPr>
          <w:sz w:val="20"/>
          <w:szCs w:val="20"/>
          <w:color w:val="auto"/>
        </w:rPr>
      </w:pPr>
    </w:p>
    <w:p>
      <w:pPr>
        <w:ind w:left="640" w:right="40"/>
        <w:spacing w:after="0"/>
        <w:rPr>
          <w:sz w:val="20"/>
          <w:szCs w:val="20"/>
          <w:color w:val="auto"/>
        </w:rPr>
      </w:pPr>
      <w:r>
        <w:rPr>
          <w:rFonts w:ascii="Arial" w:cs="Arial" w:eastAsia="Arial" w:hAnsi="Arial"/>
          <w:sz w:val="18"/>
          <w:szCs w:val="18"/>
          <w:color w:val="202124"/>
        </w:rPr>
        <w:t>The following table sets forth (i) total compensation paid to Mr. Rhodes, our former principal executive officer (“PEO”) when he served as PEO and Mr. Daniele, our current PEO, for all five fiscal years presented, as set forth in our Summary Compensation Table (“SCT”), (ii) Compensation Actually Paid (“CAP”) to our PEO, (iii) average total compensation paid to our NEOs, excluding Mr. Daniele, and also excluding Mr. Rhodes, for the periods which each served as our PEO, as set forth in the SCT for such fiscal year, (iv) average CAP to our other NEOs, in each case as calculated in accordance with Item 402(v) of Regulation S-K, and (v) certain Company and peer group performance measures for the periods indicated. CAP does not reflect value actually realized by the applicable executives or how the Compensation Committee evaluates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69</w:t>
            </w:r>
          </w:p>
        </w:tc>
      </w:tr>
    </w:tbl>
    <w:p>
      <w:pPr>
        <w:sectPr>
          <w:pgSz w:w="11900" w:h="16838" w:orient="portrait"/>
          <w:cols w:equalWidth="0" w:num="1">
            <w:col w:w="10360"/>
          </w:cols>
          <w:pgMar w:left="440" w:top="106" w:right="1099" w:bottom="1440" w:gutter="0" w:footer="0" w:header="0"/>
        </w:sectPr>
      </w:pPr>
    </w:p>
    <w:bookmarkStart w:id="72" w:name="page73"/>
    <w:bookmarkEnd w:id="7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6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1620" w:type="dxa"/>
            <w:vAlign w:val="bottom"/>
            <w:gridSpan w:val="2"/>
            <w:shd w:val="clear" w:color="auto" w:fill="000000"/>
          </w:tcPr>
          <w:p>
            <w:pPr>
              <w:jc w:val="right"/>
              <w:ind w:right="55"/>
              <w:spacing w:after="0"/>
              <w:rPr>
                <w:sz w:val="20"/>
                <w:szCs w:val="20"/>
                <w:color w:val="auto"/>
              </w:rPr>
            </w:pPr>
            <w:r>
              <w:rPr>
                <w:rFonts w:ascii="Times New Roman" w:cs="Times New Roman" w:eastAsia="Times New Roman" w:hAnsi="Times New Roman"/>
                <w:sz w:val="13"/>
                <w:szCs w:val="13"/>
                <w:b w:val="1"/>
                <w:bCs w:val="1"/>
                <w:color w:val="FFFFFF"/>
              </w:rPr>
              <w:t>Value of Initial Fixed $100</w:t>
            </w:r>
          </w:p>
        </w:tc>
        <w:tc>
          <w:tcPr>
            <w:tcW w:w="7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r>
      <w:tr>
        <w:trPr>
          <w:trHeight w:val="165"/>
        </w:trPr>
        <w:tc>
          <w:tcPr>
            <w:tcW w:w="46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9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Average</w:t>
            </w:r>
          </w:p>
        </w:tc>
        <w:tc>
          <w:tcPr>
            <w:tcW w:w="10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Average</w:t>
            </w:r>
          </w:p>
        </w:tc>
        <w:tc>
          <w:tcPr>
            <w:tcW w:w="80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r>
      <w:tr>
        <w:trPr>
          <w:trHeight w:val="135"/>
        </w:trPr>
        <w:tc>
          <w:tcPr>
            <w:tcW w:w="46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Summary</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80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r>
      <w:tr>
        <w:trPr>
          <w:trHeight w:val="135"/>
        </w:trPr>
        <w:tc>
          <w:tcPr>
            <w:tcW w:w="460" w:type="dxa"/>
            <w:vAlign w:val="bottom"/>
            <w:shd w:val="clear" w:color="auto" w:fill="000000"/>
          </w:tcPr>
          <w:p>
            <w:pPr>
              <w:spacing w:after="0"/>
              <w:rPr>
                <w:sz w:val="11"/>
                <w:szCs w:val="11"/>
                <w:color w:val="auto"/>
              </w:rPr>
            </w:pP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Summary</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Summary</w:t>
            </w:r>
          </w:p>
        </w:tc>
        <w:tc>
          <w:tcPr>
            <w:tcW w:w="100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Actually Paid to</w:t>
            </w:r>
          </w:p>
        </w:tc>
        <w:tc>
          <w:tcPr>
            <w:tcW w:w="800" w:type="dxa"/>
            <w:vAlign w:val="bottom"/>
            <w:shd w:val="clear" w:color="auto" w:fill="000000"/>
          </w:tcPr>
          <w:p>
            <w:pPr>
              <w:spacing w:after="0"/>
              <w:rPr>
                <w:sz w:val="11"/>
                <w:szCs w:val="11"/>
                <w:color w:val="auto"/>
              </w:rPr>
            </w:pPr>
          </w:p>
        </w:tc>
        <w:tc>
          <w:tcPr>
            <w:tcW w:w="8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Peer Group</w:t>
            </w:r>
          </w:p>
        </w:tc>
        <w:tc>
          <w:tcPr>
            <w:tcW w:w="7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r>
      <w:tr>
        <w:trPr>
          <w:trHeight w:val="135"/>
        </w:trPr>
        <w:tc>
          <w:tcPr>
            <w:tcW w:w="460" w:type="dxa"/>
            <w:vAlign w:val="bottom"/>
            <w:shd w:val="clear" w:color="auto" w:fill="000000"/>
          </w:tcPr>
          <w:p>
            <w:pPr>
              <w:spacing w:after="0"/>
              <w:rPr>
                <w:sz w:val="11"/>
                <w:szCs w:val="11"/>
                <w:color w:val="auto"/>
              </w:rPr>
            </w:pP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Compensation</w:t>
            </w:r>
          </w:p>
        </w:tc>
        <w:tc>
          <w:tcPr>
            <w:tcW w:w="100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Actually Paid to</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Actually Paid to</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Table Total for</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Non-</w:t>
            </w:r>
          </w:p>
        </w:tc>
        <w:tc>
          <w:tcPr>
            <w:tcW w:w="80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Total</w:t>
            </w:r>
          </w:p>
        </w:tc>
        <w:tc>
          <w:tcPr>
            <w:tcW w:w="8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Total</w:t>
            </w:r>
          </w:p>
        </w:tc>
        <w:tc>
          <w:tcPr>
            <w:tcW w:w="76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Net Income</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Economic Profit</w:t>
            </w:r>
          </w:p>
        </w:tc>
      </w:tr>
      <w:tr>
        <w:trPr>
          <w:trHeight w:val="135"/>
        </w:trPr>
        <w:tc>
          <w:tcPr>
            <w:tcW w:w="460" w:type="dxa"/>
            <w:vAlign w:val="bottom"/>
            <w:shd w:val="clear" w:color="auto" w:fill="000000"/>
          </w:tcPr>
          <w:p>
            <w:pPr>
              <w:spacing w:after="0" w:line="135" w:lineRule="exact"/>
              <w:rPr>
                <w:sz w:val="20"/>
                <w:szCs w:val="20"/>
                <w:color w:val="auto"/>
              </w:rPr>
            </w:pPr>
            <w:r>
              <w:rPr>
                <w:rFonts w:ascii="Times New Roman" w:cs="Times New Roman" w:eastAsia="Times New Roman" w:hAnsi="Times New Roman"/>
                <w:sz w:val="13"/>
                <w:szCs w:val="13"/>
                <w:b w:val="1"/>
                <w:bCs w:val="1"/>
                <w:color w:val="FFFFFF"/>
              </w:rPr>
              <w:t>Fiscal</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Table Total for</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Table Total for</w:t>
            </w:r>
          </w:p>
        </w:tc>
        <w:tc>
          <w:tcPr>
            <w:tcW w:w="2020" w:type="dxa"/>
            <w:vAlign w:val="bottom"/>
            <w:gridSpan w:val="2"/>
            <w:shd w:val="clear" w:color="auto" w:fill="000000"/>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PEO (current) (1) PEO (former) (1)</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rPr>
              <w:t>Non-</w:t>
            </w:r>
          </w:p>
        </w:tc>
        <w:tc>
          <w:tcPr>
            <w:tcW w:w="10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PEO NEOs (2)(3)</w:t>
            </w:r>
          </w:p>
        </w:tc>
        <w:tc>
          <w:tcPr>
            <w:tcW w:w="80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9"/>
              </w:rPr>
              <w:t>Shareholder</w:t>
            </w:r>
          </w:p>
        </w:tc>
        <w:tc>
          <w:tcPr>
            <w:tcW w:w="82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Shareholder</w:t>
            </w:r>
          </w:p>
        </w:tc>
        <w:tc>
          <w:tcPr>
            <w:tcW w:w="76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3"/>
              </w:rPr>
              <w:t>($s in</w:t>
            </w:r>
          </w:p>
        </w:tc>
        <w:tc>
          <w:tcPr>
            <w:tcW w:w="940" w:type="dxa"/>
            <w:vAlign w:val="bottom"/>
            <w:shd w:val="clear" w:color="auto" w:fill="00000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 in millions)</w:t>
            </w:r>
          </w:p>
        </w:tc>
      </w:tr>
      <w:tr>
        <w:trPr>
          <w:trHeight w:val="155"/>
        </w:trPr>
        <w:tc>
          <w:tcPr>
            <w:tcW w:w="46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102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PEO (current)</w:t>
            </w:r>
          </w:p>
        </w:tc>
        <w:tc>
          <w:tcPr>
            <w:tcW w:w="94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PEO (former)</w:t>
            </w:r>
          </w:p>
        </w:tc>
        <w:tc>
          <w:tcPr>
            <w:tcW w:w="100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2"/>
              </w:rPr>
              <w:t>(2)</w:t>
            </w:r>
          </w:p>
        </w:tc>
        <w:tc>
          <w:tcPr>
            <w:tcW w:w="102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2"/>
              </w:rPr>
              <w:t>(2)</w:t>
            </w:r>
          </w:p>
        </w:tc>
        <w:tc>
          <w:tcPr>
            <w:tcW w:w="94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PEO NEOs (3)</w:t>
            </w:r>
          </w:p>
        </w:tc>
        <w:tc>
          <w:tcPr>
            <w:tcW w:w="102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(4)</w:t>
            </w:r>
          </w:p>
        </w:tc>
        <w:tc>
          <w:tcPr>
            <w:tcW w:w="80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Return</w:t>
            </w:r>
          </w:p>
        </w:tc>
        <w:tc>
          <w:tcPr>
            <w:tcW w:w="82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Return (5)</w:t>
            </w:r>
          </w:p>
        </w:tc>
        <w:tc>
          <w:tcPr>
            <w:tcW w:w="76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millions)</w:t>
            </w:r>
          </w:p>
        </w:tc>
        <w:tc>
          <w:tcPr>
            <w:tcW w:w="94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(6)</w:t>
            </w:r>
          </w:p>
        </w:tc>
      </w:tr>
      <w:tr>
        <w:trPr>
          <w:trHeight w:val="142"/>
        </w:trPr>
        <w:tc>
          <w:tcPr>
            <w:tcW w:w="46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2026</w:t>
            </w:r>
          </w:p>
        </w:tc>
        <w:tc>
          <w:tcPr>
            <w:tcW w:w="1020" w:type="dxa"/>
            <w:vAlign w:val="bottom"/>
            <w:tcBorders>
              <w:bottom w:val="single" w:sz="8" w:color="808080"/>
            </w:tcBorders>
          </w:tcPr>
          <w:p>
            <w:pPr>
              <w:jc w:val="right"/>
              <w:ind w:right="15"/>
              <w:spacing w:after="0" w:line="142" w:lineRule="exact"/>
              <w:rPr>
                <w:sz w:val="20"/>
                <w:szCs w:val="20"/>
                <w:color w:val="auto"/>
              </w:rPr>
            </w:pPr>
            <w:r>
              <w:rPr>
                <w:rFonts w:ascii="Times New Roman" w:cs="Times New Roman" w:eastAsia="Times New Roman" w:hAnsi="Times New Roman"/>
                <w:sz w:val="13"/>
                <w:szCs w:val="13"/>
                <w:color w:val="202124"/>
              </w:rPr>
              <w:t>$ 11,236,964</w:t>
            </w:r>
          </w:p>
        </w:tc>
        <w:tc>
          <w:tcPr>
            <w:tcW w:w="94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$ 7,473,423</w:t>
            </w:r>
          </w:p>
        </w:tc>
        <w:tc>
          <w:tcPr>
            <w:tcW w:w="102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$ 7,778,912</w:t>
            </w:r>
          </w:p>
        </w:tc>
        <w:tc>
          <w:tcPr>
            <w:tcW w:w="10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$ 6,908,759</w:t>
            </w:r>
          </w:p>
        </w:tc>
        <w:tc>
          <w:tcPr>
            <w:tcW w:w="8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$249.09</w:t>
            </w:r>
          </w:p>
        </w:tc>
        <w:tc>
          <w:tcPr>
            <w:tcW w:w="8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$162.53</w:t>
            </w:r>
          </w:p>
        </w:tc>
        <w:tc>
          <w:tcPr>
            <w:tcW w:w="7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$2,572.7</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$2,399.7</w:t>
            </w:r>
          </w:p>
        </w:tc>
      </w:tr>
      <w:tr>
        <w:trPr>
          <w:trHeight w:val="142"/>
        </w:trPr>
        <w:tc>
          <w:tcPr>
            <w:tcW w:w="46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2025</w:t>
            </w:r>
          </w:p>
        </w:tc>
        <w:tc>
          <w:tcPr>
            <w:tcW w:w="1020" w:type="dxa"/>
            <w:vAlign w:val="bottom"/>
            <w:tcBorders>
              <w:bottom w:val="single" w:sz="8" w:color="808080"/>
            </w:tcBorders>
          </w:tcPr>
          <w:p>
            <w:pPr>
              <w:jc w:val="right"/>
              <w:ind w:right="15"/>
              <w:spacing w:after="0" w:line="142" w:lineRule="exact"/>
              <w:rPr>
                <w:sz w:val="20"/>
                <w:szCs w:val="20"/>
                <w:color w:val="auto"/>
              </w:rPr>
            </w:pPr>
            <w:r>
              <w:rPr>
                <w:rFonts w:ascii="Times New Roman" w:cs="Times New Roman" w:eastAsia="Times New Roman" w:hAnsi="Times New Roman"/>
                <w:sz w:val="13"/>
                <w:szCs w:val="13"/>
                <w:color w:val="202124"/>
              </w:rPr>
              <w:t>9,636,414</w:t>
            </w:r>
          </w:p>
        </w:tc>
        <w:tc>
          <w:tcPr>
            <w:tcW w:w="94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21,265,131</w:t>
            </w:r>
          </w:p>
        </w:tc>
        <w:tc>
          <w:tcPr>
            <w:tcW w:w="102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6,009,622</w:t>
            </w:r>
          </w:p>
        </w:tc>
        <w:tc>
          <w:tcPr>
            <w:tcW w:w="10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13,589,166</w:t>
            </w:r>
          </w:p>
        </w:tc>
        <w:tc>
          <w:tcPr>
            <w:tcW w:w="8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353.08</w:t>
            </w:r>
          </w:p>
        </w:tc>
        <w:tc>
          <w:tcPr>
            <w:tcW w:w="8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151.97</w:t>
            </w:r>
          </w:p>
        </w:tc>
        <w:tc>
          <w:tcPr>
            <w:tcW w:w="7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2,498.2</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2,458.2</w:t>
            </w:r>
          </w:p>
        </w:tc>
      </w:tr>
      <w:tr>
        <w:trPr>
          <w:trHeight w:val="142"/>
        </w:trPr>
        <w:tc>
          <w:tcPr>
            <w:tcW w:w="46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2024</w:t>
            </w:r>
          </w:p>
        </w:tc>
        <w:tc>
          <w:tcPr>
            <w:tcW w:w="1020" w:type="dxa"/>
            <w:vAlign w:val="bottom"/>
            <w:tcBorders>
              <w:bottom w:val="single" w:sz="8" w:color="808080"/>
            </w:tcBorders>
          </w:tcPr>
          <w:p>
            <w:pPr>
              <w:jc w:val="right"/>
              <w:ind w:right="15"/>
              <w:spacing w:after="0" w:line="142" w:lineRule="exact"/>
              <w:rPr>
                <w:sz w:val="20"/>
                <w:szCs w:val="20"/>
                <w:color w:val="auto"/>
              </w:rPr>
            </w:pPr>
            <w:r>
              <w:rPr>
                <w:rFonts w:ascii="Times New Roman" w:cs="Times New Roman" w:eastAsia="Times New Roman" w:hAnsi="Times New Roman"/>
                <w:sz w:val="13"/>
                <w:szCs w:val="13"/>
                <w:color w:val="202124"/>
              </w:rPr>
              <w:t>9,198,465</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6,046,598</w:t>
            </w:r>
          </w:p>
        </w:tc>
        <w:tc>
          <w:tcPr>
            <w:tcW w:w="10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15,071,027</w:t>
            </w:r>
          </w:p>
        </w:tc>
        <w:tc>
          <w:tcPr>
            <w:tcW w:w="1020" w:type="dxa"/>
            <w:vAlign w:val="bottom"/>
            <w:tcBorders>
              <w:bottom w:val="single" w:sz="8" w:color="808080"/>
            </w:tcBorders>
          </w:tcPr>
          <w:p>
            <w:pPr>
              <w:jc w:val="right"/>
              <w:ind w:right="15"/>
              <w:spacing w:after="0" w:line="142" w:lineRule="exact"/>
              <w:rPr>
                <w:sz w:val="20"/>
                <w:szCs w:val="20"/>
                <w:color w:val="auto"/>
              </w:rPr>
            </w:pPr>
            <w:r>
              <w:rPr>
                <w:rFonts w:ascii="Times New Roman" w:cs="Times New Roman" w:eastAsia="Times New Roman" w:hAnsi="Times New Roman"/>
                <w:sz w:val="13"/>
                <w:szCs w:val="13"/>
                <w:color w:val="202124"/>
              </w:rPr>
              <w:t>21,056,588</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6,209,177</w:t>
            </w:r>
          </w:p>
        </w:tc>
        <w:tc>
          <w:tcPr>
            <w:tcW w:w="10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9,568,493</w:t>
            </w:r>
          </w:p>
        </w:tc>
        <w:tc>
          <w:tcPr>
            <w:tcW w:w="8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267.55</w:t>
            </w:r>
          </w:p>
        </w:tc>
        <w:tc>
          <w:tcPr>
            <w:tcW w:w="8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124.17</w:t>
            </w:r>
          </w:p>
        </w:tc>
        <w:tc>
          <w:tcPr>
            <w:tcW w:w="7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2,662.4</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2,546.6</w:t>
            </w:r>
          </w:p>
        </w:tc>
      </w:tr>
      <w:tr>
        <w:trPr>
          <w:trHeight w:val="142"/>
        </w:trPr>
        <w:tc>
          <w:tcPr>
            <w:tcW w:w="46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2023</w:t>
            </w:r>
          </w:p>
        </w:tc>
        <w:tc>
          <w:tcPr>
            <w:tcW w:w="102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18,796,822</w:t>
            </w:r>
          </w:p>
        </w:tc>
        <w:tc>
          <w:tcPr>
            <w:tcW w:w="10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15"/>
              <w:spacing w:after="0" w:line="142" w:lineRule="exact"/>
              <w:rPr>
                <w:sz w:val="20"/>
                <w:szCs w:val="20"/>
                <w:color w:val="auto"/>
              </w:rPr>
            </w:pPr>
            <w:r>
              <w:rPr>
                <w:rFonts w:ascii="Times New Roman" w:cs="Times New Roman" w:eastAsia="Times New Roman" w:hAnsi="Times New Roman"/>
                <w:sz w:val="13"/>
                <w:szCs w:val="13"/>
                <w:color w:val="202124"/>
              </w:rPr>
              <w:t>37,562,328</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5,404,080</w:t>
            </w:r>
          </w:p>
        </w:tc>
        <w:tc>
          <w:tcPr>
            <w:tcW w:w="10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10,077,359</w:t>
            </w:r>
          </w:p>
        </w:tc>
        <w:tc>
          <w:tcPr>
            <w:tcW w:w="8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206.32</w:t>
            </w:r>
          </w:p>
        </w:tc>
        <w:tc>
          <w:tcPr>
            <w:tcW w:w="8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98.08</w:t>
            </w:r>
          </w:p>
        </w:tc>
        <w:tc>
          <w:tcPr>
            <w:tcW w:w="7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2,528.4</w:t>
            </w: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2,432.0</w:t>
            </w:r>
          </w:p>
        </w:tc>
      </w:tr>
      <w:tr>
        <w:trPr>
          <w:trHeight w:val="149"/>
        </w:trPr>
        <w:tc>
          <w:tcPr>
            <w:tcW w:w="4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202124"/>
              </w:rPr>
              <w:t>2022</w:t>
            </w:r>
          </w:p>
        </w:tc>
        <w:tc>
          <w:tcPr>
            <w:tcW w:w="10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14,330,010</w:t>
            </w:r>
          </w:p>
        </w:tc>
        <w:tc>
          <w:tcPr>
            <w:tcW w:w="10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3"/>
                <w:szCs w:val="13"/>
                <w:color w:val="202124"/>
              </w:rPr>
              <w:t>53,183,213</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4,403,231</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12,895,019</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181.90</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91.92</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2,429.6</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2,278.5</w:t>
            </w:r>
          </w:p>
        </w:tc>
      </w:tr>
    </w:tbl>
    <w:p>
      <w:pPr>
        <w:ind w:left="960" w:hanging="316"/>
        <w:spacing w:after="0" w:line="217" w:lineRule="auto"/>
        <w:tabs>
          <w:tab w:leader="none" w:pos="960" w:val="left"/>
        </w:tabs>
        <w:numPr>
          <w:ilvl w:val="0"/>
          <w:numId w:val="99"/>
        </w:numPr>
        <w:rPr>
          <w:rFonts w:ascii="Arial" w:cs="Arial" w:eastAsia="Arial" w:hAnsi="Arial"/>
          <w:sz w:val="27"/>
          <w:szCs w:val="27"/>
          <w:color w:val="202124"/>
          <w:vertAlign w:val="superscript"/>
        </w:rPr>
      </w:pPr>
      <w:r>
        <w:rPr>
          <w:rFonts w:ascii="Arial" w:cs="Arial" w:eastAsia="Arial" w:hAnsi="Arial"/>
          <w:sz w:val="16"/>
          <w:szCs w:val="16"/>
          <w:color w:val="202124"/>
        </w:rPr>
        <w:t>Reconciliation of amounts shown in Summary Compensation Table to CAP to PEO.</w:t>
      </w:r>
    </w:p>
    <w:p>
      <w:pPr>
        <w:spacing w:after="0" w:line="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FFFFFF"/>
        </w:rPr>
        <w:t>Current CEO- Philip B. Daniele, III</w:t>
      </w:r>
    </w:p>
    <w:p>
      <w:pPr>
        <w:spacing w:after="0" w:line="331"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Change in Fair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Year-End</w:t>
            </w:r>
          </w:p>
        </w:tc>
        <w:tc>
          <w:tcPr>
            <w:tcW w:w="200" w:type="dxa"/>
            <w:vAlign w:val="bottom"/>
          </w:tcPr>
          <w:p>
            <w:pPr>
              <w:spacing w:after="0"/>
              <w:rPr>
                <w:sz w:val="12"/>
                <w:szCs w:val="12"/>
                <w:color w:val="auto"/>
              </w:rPr>
            </w:pPr>
          </w:p>
        </w:tc>
        <w:tc>
          <w:tcPr>
            <w:tcW w:w="10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Change in Fair</w:t>
            </w:r>
          </w:p>
        </w:tc>
        <w:tc>
          <w:tcPr>
            <w:tcW w:w="160" w:type="dxa"/>
            <w:vAlign w:val="bottom"/>
          </w:tcPr>
          <w:p>
            <w:pPr>
              <w:spacing w:after="0"/>
              <w:rPr>
                <w:sz w:val="12"/>
                <w:szCs w:val="12"/>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Value (from</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Prior Year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Value of Stock</w:t>
            </w:r>
          </w:p>
        </w:tc>
        <w:tc>
          <w:tcPr>
            <w:tcW w:w="180" w:type="dxa"/>
            <w:vAlign w:val="bottom"/>
          </w:tcPr>
          <w:p>
            <w:pPr>
              <w:spacing w:after="0"/>
              <w:rPr>
                <w:sz w:val="12"/>
                <w:szCs w:val="12"/>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Value</w:t>
            </w:r>
          </w:p>
        </w:tc>
        <w:tc>
          <w:tcPr>
            <w:tcW w:w="200" w:type="dxa"/>
            <w:vAlign w:val="bottom"/>
          </w:tcPr>
          <w:p>
            <w:pPr>
              <w:spacing w:after="0"/>
              <w:rPr>
                <w:sz w:val="12"/>
                <w:szCs w:val="12"/>
                <w:color w:val="auto"/>
              </w:rPr>
            </w:pPr>
          </w:p>
        </w:tc>
        <w:tc>
          <w:tcPr>
            <w:tcW w:w="100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Value of Prior</w:t>
            </w: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Prior Year</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Fair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Summary</w:t>
            </w:r>
          </w:p>
        </w:tc>
        <w:tc>
          <w:tcPr>
            <w:tcW w:w="200" w:type="dxa"/>
            <w:vAlign w:val="bottom"/>
          </w:tcPr>
          <w:p>
            <w:pPr>
              <w:spacing w:after="0"/>
              <w:rPr>
                <w:sz w:val="12"/>
                <w:szCs w:val="12"/>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Awards and</w:t>
            </w:r>
          </w:p>
        </w:tc>
        <w:tc>
          <w:tcPr>
            <w:tcW w:w="180" w:type="dxa"/>
            <w:vAlign w:val="bottom"/>
          </w:tcPr>
          <w:p>
            <w:pPr>
              <w:spacing w:after="0"/>
              <w:rPr>
                <w:sz w:val="12"/>
                <w:szCs w:val="12"/>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of Awards</w:t>
            </w:r>
          </w:p>
        </w:tc>
        <w:tc>
          <w:tcPr>
            <w:tcW w:w="200" w:type="dxa"/>
            <w:vAlign w:val="bottom"/>
          </w:tcPr>
          <w:p>
            <w:pPr>
              <w:spacing w:after="0"/>
              <w:rPr>
                <w:sz w:val="12"/>
                <w:szCs w:val="12"/>
                <w:color w:val="auto"/>
              </w:rPr>
            </w:pPr>
          </w:p>
        </w:tc>
        <w:tc>
          <w:tcPr>
            <w:tcW w:w="10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Year Awards-</w:t>
            </w:r>
          </w:p>
        </w:tc>
        <w:tc>
          <w:tcPr>
            <w:tcW w:w="160" w:type="dxa"/>
            <w:vAlign w:val="bottom"/>
          </w:tcPr>
          <w:p>
            <w:pPr>
              <w:spacing w:after="0"/>
              <w:rPr>
                <w:sz w:val="12"/>
                <w:szCs w:val="12"/>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End)</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Value of Prior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Compensation</w:t>
            </w:r>
          </w:p>
        </w:tc>
        <w:tc>
          <w:tcPr>
            <w:tcW w:w="200" w:type="dxa"/>
            <w:vAlign w:val="bottom"/>
          </w:tcPr>
          <w:p>
            <w:pPr>
              <w:spacing w:after="0"/>
              <w:rPr>
                <w:sz w:val="12"/>
                <w:szCs w:val="12"/>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Option Awards</w:t>
            </w:r>
          </w:p>
        </w:tc>
        <w:tc>
          <w:tcPr>
            <w:tcW w:w="180" w:type="dxa"/>
            <w:vAlign w:val="bottom"/>
          </w:tcPr>
          <w:p>
            <w:pPr>
              <w:spacing w:after="0"/>
              <w:rPr>
                <w:sz w:val="12"/>
                <w:szCs w:val="12"/>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Granted in</w:t>
            </w:r>
          </w:p>
        </w:tc>
        <w:tc>
          <w:tcPr>
            <w:tcW w:w="200" w:type="dxa"/>
            <w:vAlign w:val="bottom"/>
          </w:tcPr>
          <w:p>
            <w:pPr>
              <w:spacing w:after="0"/>
              <w:rPr>
                <w:sz w:val="12"/>
                <w:szCs w:val="12"/>
                <w:color w:val="auto"/>
              </w:rPr>
            </w:pPr>
          </w:p>
        </w:tc>
        <w:tc>
          <w:tcPr>
            <w:tcW w:w="10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Outstanding</w:t>
            </w:r>
          </w:p>
        </w:tc>
        <w:tc>
          <w:tcPr>
            <w:tcW w:w="160" w:type="dxa"/>
            <w:vAlign w:val="bottom"/>
          </w:tcPr>
          <w:p>
            <w:pPr>
              <w:spacing w:after="0"/>
              <w:rPr>
                <w:sz w:val="12"/>
                <w:szCs w:val="12"/>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of Prior Year</w:t>
            </w:r>
          </w:p>
        </w:tc>
        <w:tc>
          <w:tcPr>
            <w:tcW w:w="180" w:type="dxa"/>
            <w:vAlign w:val="bottom"/>
          </w:tcPr>
          <w:p>
            <w:pPr>
              <w:spacing w:after="0"/>
              <w:rPr>
                <w:sz w:val="12"/>
                <w:szCs w:val="12"/>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w w:val="99"/>
              </w:rPr>
              <w:t>Year Awards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FFFFFF"/>
              </w:rPr>
              <w:t>Fiscal</w:t>
            </w:r>
          </w:p>
        </w:tc>
        <w:tc>
          <w:tcPr>
            <w:tcW w:w="2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Table Total</w:t>
            </w:r>
          </w:p>
        </w:tc>
        <w:tc>
          <w:tcPr>
            <w:tcW w:w="200" w:type="dxa"/>
            <w:vAlign w:val="bottom"/>
          </w:tcPr>
          <w:p>
            <w:pPr>
              <w:spacing w:after="0"/>
              <w:rPr>
                <w:sz w:val="12"/>
                <w:szCs w:val="12"/>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Reported in</w:t>
            </w:r>
          </w:p>
        </w:tc>
        <w:tc>
          <w:tcPr>
            <w:tcW w:w="180" w:type="dxa"/>
            <w:vAlign w:val="bottom"/>
          </w:tcPr>
          <w:p>
            <w:pPr>
              <w:spacing w:after="0"/>
              <w:rPr>
                <w:sz w:val="12"/>
                <w:szCs w:val="12"/>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Fiscal Year</w:t>
            </w:r>
          </w:p>
        </w:tc>
        <w:tc>
          <w:tcPr>
            <w:tcW w:w="200" w:type="dxa"/>
            <w:vAlign w:val="bottom"/>
          </w:tcPr>
          <w:p>
            <w:pPr>
              <w:spacing w:after="0"/>
              <w:rPr>
                <w:sz w:val="12"/>
                <w:szCs w:val="12"/>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and</w:t>
            </w: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Awards-</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that Failed to</w:t>
            </w:r>
          </w:p>
        </w:tc>
        <w:tc>
          <w:tcPr>
            <w:tcW w:w="240" w:type="dxa"/>
            <w:vAlign w:val="bottom"/>
          </w:tcPr>
          <w:p>
            <w:pPr>
              <w:spacing w:after="0"/>
              <w:rPr>
                <w:sz w:val="12"/>
                <w:szCs w:val="12"/>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FFFFFF"/>
              </w:rPr>
              <w:t>Total</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3"/>
        </w:trPr>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FFFFFF"/>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(SCT)</w:t>
            </w:r>
          </w:p>
        </w:tc>
        <w:tc>
          <w:tcPr>
            <w:tcW w:w="200" w:type="dxa"/>
            <w:vAlign w:val="bottom"/>
          </w:tcPr>
          <w:p>
            <w:pPr>
              <w:spacing w:after="0"/>
              <w:rPr>
                <w:sz w:val="13"/>
                <w:szCs w:val="13"/>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SCT (deducted)</w:t>
            </w:r>
          </w:p>
        </w:tc>
        <w:tc>
          <w:tcPr>
            <w:tcW w:w="180" w:type="dxa"/>
            <w:vAlign w:val="bottom"/>
          </w:tcPr>
          <w:p>
            <w:pPr>
              <w:spacing w:after="0"/>
              <w:rPr>
                <w:sz w:val="13"/>
                <w:szCs w:val="13"/>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(1)</w:t>
            </w:r>
          </w:p>
        </w:tc>
        <w:tc>
          <w:tcPr>
            <w:tcW w:w="200" w:type="dxa"/>
            <w:vAlign w:val="bottom"/>
          </w:tcPr>
          <w:p>
            <w:pPr>
              <w:spacing w:after="0"/>
              <w:rPr>
                <w:sz w:val="13"/>
                <w:szCs w:val="13"/>
                <w:color w:val="auto"/>
              </w:rPr>
            </w:pPr>
          </w:p>
        </w:tc>
        <w:tc>
          <w:tcPr>
            <w:tcW w:w="10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Unvested (2)</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Vested (2)</w:t>
            </w: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FFFFFF"/>
              </w:rPr>
              <w:t>Vest (2)</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FFFFFF"/>
              </w:rPr>
              <w:t>​​​</w:t>
            </w: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Adjustments</w:t>
            </w:r>
          </w:p>
        </w:tc>
        <w:tc>
          <w:tcPr>
            <w:tcW w:w="22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FFFFFF"/>
              </w:rPr>
              <w:t>CAP</w:t>
            </w:r>
          </w:p>
        </w:tc>
      </w:tr>
      <w:tr>
        <w:trPr>
          <w:trHeight w:val="175"/>
        </w:trPr>
        <w:tc>
          <w:tcPr>
            <w:tcW w:w="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3"/>
                <w:szCs w:val="13"/>
                <w:color w:val="202124"/>
              </w:rPr>
              <w:t>2026</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1020" w:type="dxa"/>
            <w:vAlign w:val="bottom"/>
            <w:tcBorders>
              <w:bottom w:val="single" w:sz="8" w:color="808080"/>
            </w:tcBorders>
          </w:tcPr>
          <w:p>
            <w:pPr>
              <w:jc w:val="right"/>
              <w:ind w:right="33"/>
              <w:spacing w:after="0"/>
              <w:rPr>
                <w:sz w:val="20"/>
                <w:szCs w:val="20"/>
                <w:color w:val="auto"/>
              </w:rPr>
            </w:pPr>
            <w:r>
              <w:rPr>
                <w:rFonts w:ascii="Times New Roman" w:cs="Times New Roman" w:eastAsia="Times New Roman" w:hAnsi="Times New Roman"/>
                <w:sz w:val="13"/>
                <w:szCs w:val="13"/>
                <w:color w:val="202124"/>
              </w:rPr>
              <w:t>11,236,964</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10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3"/>
                <w:szCs w:val="13"/>
                <w:color w:val="202124"/>
              </w:rPr>
              <w:t>(8,294,592)</w:t>
            </w:r>
          </w:p>
        </w:tc>
        <w:tc>
          <w:tcPr>
            <w:tcW w:w="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40" w:type="dxa"/>
            <w:vAlign w:val="bottom"/>
            <w:tcBorders>
              <w:bottom w:val="single" w:sz="8" w:color="808080"/>
            </w:tcBorders>
          </w:tcPr>
          <w:p>
            <w:pPr>
              <w:jc w:val="right"/>
              <w:ind w:right="33"/>
              <w:spacing w:after="0"/>
              <w:rPr>
                <w:sz w:val="20"/>
                <w:szCs w:val="20"/>
                <w:color w:val="auto"/>
              </w:rPr>
            </w:pPr>
            <w:r>
              <w:rPr>
                <w:rFonts w:ascii="Times New Roman" w:cs="Times New Roman" w:eastAsia="Times New Roman" w:hAnsi="Times New Roman"/>
                <w:sz w:val="13"/>
                <w:szCs w:val="13"/>
                <w:color w:val="202124"/>
              </w:rPr>
              <w:t>3,288,837</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100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3"/>
                <w:szCs w:val="13"/>
                <w:color w:val="202124"/>
              </w:rPr>
              <w:t>(1,691,530)</w:t>
            </w:r>
          </w:p>
        </w:tc>
        <w:tc>
          <w:tcPr>
            <w:tcW w:w="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98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3"/>
                <w:szCs w:val="13"/>
                <w:color w:val="202124"/>
              </w:rPr>
              <w:t>2,933,745</w:t>
            </w:r>
          </w:p>
        </w:tc>
        <w:tc>
          <w:tcPr>
            <w:tcW w:w="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3"/>
                <w:szCs w:val="13"/>
                <w:color w:val="202124"/>
              </w:rPr>
              <w:t>(3,763,541)</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7,473,423</w:t>
            </w:r>
          </w:p>
        </w:tc>
      </w:tr>
      <w:tr>
        <w:trPr>
          <w:trHeight w:val="142"/>
        </w:trPr>
        <w:tc>
          <w:tcPr>
            <w:tcW w:w="42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2025</w:t>
            </w:r>
          </w:p>
        </w:tc>
        <w:tc>
          <w:tcPr>
            <w:tcW w:w="2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9,636,414</w:t>
            </w:r>
          </w:p>
        </w:tc>
        <w:tc>
          <w:tcPr>
            <w:tcW w:w="2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202124"/>
              </w:rPr>
              <w:t>(7,226,543)</w:t>
            </w:r>
          </w:p>
        </w:tc>
        <w:tc>
          <w:tcPr>
            <w:tcW w:w="1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11,436,253</w:t>
            </w:r>
          </w:p>
        </w:tc>
        <w:tc>
          <w:tcPr>
            <w:tcW w:w="2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7,679,175</w:t>
            </w:r>
          </w:p>
        </w:tc>
        <w:tc>
          <w:tcPr>
            <w:tcW w:w="1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202124"/>
              </w:rPr>
              <w:t>(260,168)</w:t>
            </w:r>
          </w:p>
        </w:tc>
        <w:tc>
          <w:tcPr>
            <w:tcW w:w="18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11,628,717</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21,265,131</w:t>
            </w:r>
          </w:p>
        </w:tc>
      </w:tr>
      <w:tr>
        <w:trPr>
          <w:trHeight w:val="142"/>
        </w:trPr>
        <w:tc>
          <w:tcPr>
            <w:tcW w:w="4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202124"/>
              </w:rPr>
              <w:t>2024</w:t>
            </w:r>
          </w:p>
        </w:tc>
        <w:tc>
          <w:tcPr>
            <w:tcW w:w="260" w:type="dxa"/>
            <w:vAlign w:val="bottom"/>
          </w:tcPr>
          <w:p>
            <w:pPr>
              <w:spacing w:after="0"/>
              <w:rPr>
                <w:sz w:val="12"/>
                <w:szCs w:val="12"/>
                <w:color w:val="auto"/>
              </w:rPr>
            </w:pPr>
          </w:p>
        </w:tc>
        <w:tc>
          <w:tcPr>
            <w:tcW w:w="102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9,198,465</w:t>
            </w:r>
          </w:p>
        </w:tc>
        <w:tc>
          <w:tcPr>
            <w:tcW w:w="200" w:type="dxa"/>
            <w:vAlign w:val="bottom"/>
          </w:tcPr>
          <w:p>
            <w:pPr>
              <w:spacing w:after="0"/>
              <w:rPr>
                <w:sz w:val="12"/>
                <w:szCs w:val="12"/>
                <w:color w:val="auto"/>
              </w:rPr>
            </w:pPr>
          </w:p>
        </w:tc>
        <w:tc>
          <w:tcPr>
            <w:tcW w:w="10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202124"/>
              </w:rPr>
              <w:t>(7,224,860)</w:t>
            </w:r>
          </w:p>
        </w:tc>
        <w:tc>
          <w:tcPr>
            <w:tcW w:w="180" w:type="dxa"/>
            <w:vAlign w:val="bottom"/>
          </w:tcPr>
          <w:p>
            <w:pPr>
              <w:spacing w:after="0"/>
              <w:rPr>
                <w:sz w:val="12"/>
                <w:szCs w:val="12"/>
                <w:color w:val="auto"/>
              </w:rPr>
            </w:pPr>
          </w:p>
        </w:tc>
        <w:tc>
          <w:tcPr>
            <w:tcW w:w="8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9,992,595</w:t>
            </w:r>
          </w:p>
        </w:tc>
        <w:tc>
          <w:tcPr>
            <w:tcW w:w="200" w:type="dxa"/>
            <w:vAlign w:val="bottom"/>
          </w:tcPr>
          <w:p>
            <w:pPr>
              <w:spacing w:after="0"/>
              <w:rPr>
                <w:sz w:val="12"/>
                <w:szCs w:val="12"/>
                <w:color w:val="auto"/>
              </w:rPr>
            </w:pPr>
          </w:p>
        </w:tc>
        <w:tc>
          <w:tcPr>
            <w:tcW w:w="10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2,989,428</w:t>
            </w:r>
          </w:p>
        </w:tc>
        <w:tc>
          <w:tcPr>
            <w:tcW w:w="160" w:type="dxa"/>
            <w:vAlign w:val="bottom"/>
          </w:tcPr>
          <w:p>
            <w:pPr>
              <w:spacing w:after="0"/>
              <w:rPr>
                <w:sz w:val="12"/>
                <w:szCs w:val="12"/>
                <w:color w:val="auto"/>
              </w:rPr>
            </w:pPr>
          </w:p>
        </w:tc>
        <w:tc>
          <w:tcPr>
            <w:tcW w:w="9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115,398</w:t>
            </w:r>
          </w:p>
        </w:tc>
        <w:tc>
          <w:tcPr>
            <w:tcW w:w="180" w:type="dxa"/>
            <w:vAlign w:val="bottom"/>
          </w:tcPr>
          <w:p>
            <w:pPr>
              <w:spacing w:after="0"/>
              <w:rPr>
                <w:sz w:val="12"/>
                <w:szCs w:val="12"/>
                <w:color w:val="auto"/>
              </w:rPr>
            </w:pPr>
          </w:p>
        </w:tc>
        <w:tc>
          <w:tcPr>
            <w:tcW w:w="860" w:type="dxa"/>
            <w:vAlign w:val="bottom"/>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40" w:type="dxa"/>
            <w:vAlign w:val="bottom"/>
          </w:tcPr>
          <w:p>
            <w:pPr>
              <w:spacing w:after="0"/>
              <w:rPr>
                <w:sz w:val="12"/>
                <w:szCs w:val="12"/>
                <w:color w:val="auto"/>
              </w:rPr>
            </w:pPr>
          </w:p>
        </w:tc>
        <w:tc>
          <w:tcPr>
            <w:tcW w:w="8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5,872,562</w:t>
            </w:r>
          </w:p>
        </w:tc>
        <w:tc>
          <w:tcPr>
            <w:tcW w:w="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202124"/>
              </w:rPr>
              <w:t>15,071,027</w:t>
            </w:r>
          </w:p>
        </w:tc>
      </w:tr>
      <w:tr>
        <w:trPr>
          <w:trHeight w:val="192"/>
        </w:trPr>
        <w:tc>
          <w:tcPr>
            <w:tcW w:w="42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102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1060" w:type="dxa"/>
            <w:vAlign w:val="bottom"/>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3180" w:type="dxa"/>
            <w:vAlign w:val="bottom"/>
            <w:gridSpan w:val="5"/>
            <w:shd w:val="clear" w:color="auto" w:fill="000000"/>
          </w:tcPr>
          <w:p>
            <w:pPr>
              <w:jc w:val="right"/>
              <w:ind w:right="453"/>
              <w:spacing w:after="0"/>
              <w:rPr>
                <w:sz w:val="20"/>
                <w:szCs w:val="20"/>
                <w:color w:val="auto"/>
              </w:rPr>
            </w:pPr>
            <w:r>
              <w:rPr>
                <w:rFonts w:ascii="Times New Roman" w:cs="Times New Roman" w:eastAsia="Times New Roman" w:hAnsi="Times New Roman"/>
                <w:sz w:val="13"/>
                <w:szCs w:val="13"/>
                <w:b w:val="1"/>
                <w:bCs w:val="1"/>
                <w:color w:val="FFFFFF"/>
              </w:rPr>
              <w:t>Former CEO- William C. Rhodes, III</w:t>
            </w:r>
          </w:p>
        </w:tc>
        <w:tc>
          <w:tcPr>
            <w:tcW w:w="180" w:type="dxa"/>
            <w:vAlign w:val="bottom"/>
            <w:shd w:val="clear" w:color="auto" w:fill="000000"/>
          </w:tcPr>
          <w:p>
            <w:pPr>
              <w:spacing w:after="0"/>
              <w:rPr>
                <w:sz w:val="16"/>
                <w:szCs w:val="16"/>
                <w:color w:val="auto"/>
              </w:rPr>
            </w:pPr>
          </w:p>
        </w:tc>
        <w:tc>
          <w:tcPr>
            <w:tcW w:w="860" w:type="dxa"/>
            <w:vAlign w:val="bottom"/>
            <w:shd w:val="clear" w:color="auto" w:fill="000000"/>
          </w:tcPr>
          <w:p>
            <w:pPr>
              <w:spacing w:after="0"/>
              <w:rPr>
                <w:sz w:val="16"/>
                <w:szCs w:val="16"/>
                <w:color w:val="auto"/>
              </w:rPr>
            </w:pPr>
          </w:p>
        </w:tc>
        <w:tc>
          <w:tcPr>
            <w:tcW w:w="24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20" w:type="dxa"/>
            <w:vAlign w:val="bottom"/>
            <w:shd w:val="clear" w:color="auto" w:fill="000000"/>
          </w:tcPr>
          <w:p>
            <w:pPr>
              <w:spacing w:after="0"/>
              <w:rPr>
                <w:sz w:val="16"/>
                <w:szCs w:val="16"/>
                <w:color w:val="auto"/>
              </w:rPr>
            </w:pPr>
          </w:p>
        </w:tc>
        <w:tc>
          <w:tcPr>
            <w:tcW w:w="720" w:type="dxa"/>
            <w:vAlign w:val="bottom"/>
            <w:shd w:val="clear" w:color="auto" w:fill="000000"/>
          </w:tcPr>
          <w:p>
            <w:pPr>
              <w:spacing w:after="0"/>
              <w:rPr>
                <w:sz w:val="16"/>
                <w:szCs w:val="16"/>
                <w:color w:val="auto"/>
              </w:rPr>
            </w:pPr>
          </w:p>
        </w:tc>
      </w:tr>
      <w:tr>
        <w:trPr>
          <w:trHeight w:val="453"/>
        </w:trPr>
        <w:tc>
          <w:tcPr>
            <w:tcW w:w="420" w:type="dxa"/>
            <w:vAlign w:val="bottom"/>
            <w:shd w:val="clear" w:color="auto" w:fill="000000"/>
          </w:tcPr>
          <w:p>
            <w:pPr>
              <w:spacing w:after="0"/>
              <w:rPr>
                <w:sz w:val="24"/>
                <w:szCs w:val="24"/>
                <w:color w:val="auto"/>
              </w:rPr>
            </w:pPr>
          </w:p>
        </w:tc>
        <w:tc>
          <w:tcPr>
            <w:tcW w:w="260" w:type="dxa"/>
            <w:vAlign w:val="bottom"/>
            <w:shd w:val="clear" w:color="auto" w:fill="000000"/>
          </w:tcPr>
          <w:p>
            <w:pPr>
              <w:spacing w:after="0"/>
              <w:rPr>
                <w:sz w:val="24"/>
                <w:szCs w:val="24"/>
                <w:color w:val="auto"/>
              </w:rPr>
            </w:pPr>
          </w:p>
        </w:tc>
        <w:tc>
          <w:tcPr>
            <w:tcW w:w="102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06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Change in Fair</w:t>
            </w:r>
          </w:p>
        </w:tc>
        <w:tc>
          <w:tcPr>
            <w:tcW w:w="18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r>
      <w:tr>
        <w:trPr>
          <w:trHeight w:val="149"/>
        </w:trPr>
        <w:tc>
          <w:tcPr>
            <w:tcW w:w="42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10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Value of Stock</w:t>
            </w:r>
          </w:p>
        </w:tc>
        <w:tc>
          <w:tcPr>
            <w:tcW w:w="18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Year-End</w:t>
            </w:r>
          </w:p>
        </w:tc>
        <w:tc>
          <w:tcPr>
            <w:tcW w:w="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Change in Fair</w:t>
            </w:r>
          </w:p>
        </w:tc>
        <w:tc>
          <w:tcPr>
            <w:tcW w:w="16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Value (from</w:t>
            </w:r>
          </w:p>
        </w:tc>
        <w:tc>
          <w:tcPr>
            <w:tcW w:w="180" w:type="dxa"/>
            <w:vAlign w:val="bottom"/>
            <w:shd w:val="clear" w:color="auto" w:fill="000000"/>
          </w:tcPr>
          <w:p>
            <w:pPr>
              <w:spacing w:after="0"/>
              <w:rPr>
                <w:sz w:val="12"/>
                <w:szCs w:val="12"/>
                <w:color w:val="auto"/>
              </w:rPr>
            </w:pPr>
          </w:p>
        </w:tc>
        <w:tc>
          <w:tcPr>
            <w:tcW w:w="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Prior Year</w:t>
            </w:r>
          </w:p>
        </w:tc>
        <w:tc>
          <w:tcPr>
            <w:tcW w:w="24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r>
      <w:tr>
        <w:trPr>
          <w:trHeight w:val="148"/>
        </w:trPr>
        <w:tc>
          <w:tcPr>
            <w:tcW w:w="42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10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Awards and</w:t>
            </w:r>
          </w:p>
        </w:tc>
        <w:tc>
          <w:tcPr>
            <w:tcW w:w="18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Value</w:t>
            </w:r>
          </w:p>
        </w:tc>
        <w:tc>
          <w:tcPr>
            <w:tcW w:w="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Value of Prior</w:t>
            </w:r>
          </w:p>
        </w:tc>
        <w:tc>
          <w:tcPr>
            <w:tcW w:w="16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Prior Year</w:t>
            </w:r>
          </w:p>
        </w:tc>
        <w:tc>
          <w:tcPr>
            <w:tcW w:w="180" w:type="dxa"/>
            <w:vAlign w:val="bottom"/>
            <w:shd w:val="clear" w:color="auto" w:fill="000000"/>
          </w:tcPr>
          <w:p>
            <w:pPr>
              <w:spacing w:after="0"/>
              <w:rPr>
                <w:sz w:val="12"/>
                <w:szCs w:val="12"/>
                <w:color w:val="auto"/>
              </w:rPr>
            </w:pPr>
          </w:p>
        </w:tc>
        <w:tc>
          <w:tcPr>
            <w:tcW w:w="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Fair</w:t>
            </w:r>
          </w:p>
        </w:tc>
        <w:tc>
          <w:tcPr>
            <w:tcW w:w="24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r>
      <w:tr>
        <w:trPr>
          <w:trHeight w:val="148"/>
        </w:trPr>
        <w:tc>
          <w:tcPr>
            <w:tcW w:w="42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10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Summary</w:t>
            </w:r>
          </w:p>
        </w:tc>
        <w:tc>
          <w:tcPr>
            <w:tcW w:w="20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Option Awards</w:t>
            </w:r>
          </w:p>
        </w:tc>
        <w:tc>
          <w:tcPr>
            <w:tcW w:w="18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of Awards</w:t>
            </w:r>
          </w:p>
        </w:tc>
        <w:tc>
          <w:tcPr>
            <w:tcW w:w="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Year Awards-</w:t>
            </w:r>
          </w:p>
        </w:tc>
        <w:tc>
          <w:tcPr>
            <w:tcW w:w="16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End)</w:t>
            </w:r>
          </w:p>
        </w:tc>
        <w:tc>
          <w:tcPr>
            <w:tcW w:w="180" w:type="dxa"/>
            <w:vAlign w:val="bottom"/>
            <w:shd w:val="clear" w:color="auto" w:fill="000000"/>
          </w:tcPr>
          <w:p>
            <w:pPr>
              <w:spacing w:after="0"/>
              <w:rPr>
                <w:sz w:val="12"/>
                <w:szCs w:val="12"/>
                <w:color w:val="auto"/>
              </w:rPr>
            </w:pPr>
          </w:p>
        </w:tc>
        <w:tc>
          <w:tcPr>
            <w:tcW w:w="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Value of Prior</w:t>
            </w:r>
          </w:p>
        </w:tc>
        <w:tc>
          <w:tcPr>
            <w:tcW w:w="24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r>
      <w:tr>
        <w:trPr>
          <w:trHeight w:val="148"/>
        </w:trPr>
        <w:tc>
          <w:tcPr>
            <w:tcW w:w="42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Compensation</w:t>
            </w:r>
          </w:p>
        </w:tc>
        <w:tc>
          <w:tcPr>
            <w:tcW w:w="20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Reported in</w:t>
            </w:r>
          </w:p>
        </w:tc>
        <w:tc>
          <w:tcPr>
            <w:tcW w:w="18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Granted in</w:t>
            </w:r>
          </w:p>
        </w:tc>
        <w:tc>
          <w:tcPr>
            <w:tcW w:w="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Outstanding</w:t>
            </w:r>
          </w:p>
        </w:tc>
        <w:tc>
          <w:tcPr>
            <w:tcW w:w="16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of Prior Year</w:t>
            </w:r>
          </w:p>
        </w:tc>
        <w:tc>
          <w:tcPr>
            <w:tcW w:w="180" w:type="dxa"/>
            <w:vAlign w:val="bottom"/>
            <w:shd w:val="clear" w:color="auto" w:fill="000000"/>
          </w:tcPr>
          <w:p>
            <w:pPr>
              <w:spacing w:after="0"/>
              <w:rPr>
                <w:sz w:val="12"/>
                <w:szCs w:val="12"/>
                <w:color w:val="auto"/>
              </w:rPr>
            </w:pPr>
          </w:p>
        </w:tc>
        <w:tc>
          <w:tcPr>
            <w:tcW w:w="86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w w:val="99"/>
              </w:rPr>
              <w:t>Year Awards</w:t>
            </w:r>
          </w:p>
        </w:tc>
        <w:tc>
          <w:tcPr>
            <w:tcW w:w="24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r>
      <w:tr>
        <w:trPr>
          <w:trHeight w:val="149"/>
        </w:trPr>
        <w:tc>
          <w:tcPr>
            <w:tcW w:w="4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b w:val="1"/>
                <w:bCs w:val="1"/>
                <w:color w:val="FFFFFF"/>
              </w:rPr>
              <w:t>Fiscal</w:t>
            </w:r>
          </w:p>
        </w:tc>
        <w:tc>
          <w:tcPr>
            <w:tcW w:w="260" w:type="dxa"/>
            <w:vAlign w:val="bottom"/>
            <w:shd w:val="clear" w:color="auto" w:fill="000000"/>
          </w:tcPr>
          <w:p>
            <w:pPr>
              <w:spacing w:after="0"/>
              <w:rPr>
                <w:sz w:val="12"/>
                <w:szCs w:val="12"/>
                <w:color w:val="auto"/>
              </w:rPr>
            </w:pPr>
          </w:p>
        </w:tc>
        <w:tc>
          <w:tcPr>
            <w:tcW w:w="10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Table Total</w:t>
            </w:r>
          </w:p>
        </w:tc>
        <w:tc>
          <w:tcPr>
            <w:tcW w:w="20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SCT</w:t>
            </w:r>
          </w:p>
        </w:tc>
        <w:tc>
          <w:tcPr>
            <w:tcW w:w="18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Fiscal Year</w:t>
            </w:r>
          </w:p>
        </w:tc>
        <w:tc>
          <w:tcPr>
            <w:tcW w:w="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and</w:t>
            </w:r>
          </w:p>
        </w:tc>
        <w:tc>
          <w:tcPr>
            <w:tcW w:w="16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Awards-</w:t>
            </w:r>
          </w:p>
        </w:tc>
        <w:tc>
          <w:tcPr>
            <w:tcW w:w="180" w:type="dxa"/>
            <w:vAlign w:val="bottom"/>
            <w:shd w:val="clear" w:color="auto" w:fill="000000"/>
          </w:tcPr>
          <w:p>
            <w:pPr>
              <w:spacing w:after="0"/>
              <w:rPr>
                <w:sz w:val="12"/>
                <w:szCs w:val="12"/>
                <w:color w:val="auto"/>
              </w:rPr>
            </w:pPr>
          </w:p>
        </w:tc>
        <w:tc>
          <w:tcPr>
            <w:tcW w:w="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that Failed to</w:t>
            </w:r>
          </w:p>
        </w:tc>
        <w:tc>
          <w:tcPr>
            <w:tcW w:w="24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right="73"/>
              <w:spacing w:after="0"/>
              <w:rPr>
                <w:sz w:val="20"/>
                <w:szCs w:val="20"/>
                <w:color w:val="auto"/>
              </w:rPr>
            </w:pPr>
            <w:r>
              <w:rPr>
                <w:rFonts w:ascii="Times New Roman" w:cs="Times New Roman" w:eastAsia="Times New Roman" w:hAnsi="Times New Roman"/>
                <w:sz w:val="13"/>
                <w:szCs w:val="13"/>
                <w:b w:val="1"/>
                <w:bCs w:val="1"/>
                <w:color w:val="FFFFFF"/>
              </w:rPr>
              <w:t>Total</w:t>
            </w:r>
          </w:p>
        </w:tc>
        <w:tc>
          <w:tcPr>
            <w:tcW w:w="22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r>
      <w:tr>
        <w:trPr>
          <w:trHeight w:val="165"/>
        </w:trPr>
        <w:tc>
          <w:tcPr>
            <w:tcW w:w="4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260" w:type="dxa"/>
            <w:vAlign w:val="bottom"/>
            <w:shd w:val="clear" w:color="auto" w:fill="000000"/>
          </w:tcPr>
          <w:p>
            <w:pPr>
              <w:jc w:val="right"/>
              <w:ind w:right="33"/>
              <w:spacing w:after="0"/>
              <w:rPr>
                <w:sz w:val="20"/>
                <w:szCs w:val="20"/>
                <w:color w:val="auto"/>
              </w:rPr>
            </w:pPr>
            <w:r>
              <w:rPr>
                <w:rFonts w:ascii="Times New Roman" w:cs="Times New Roman" w:eastAsia="Times New Roman" w:hAnsi="Times New Roman"/>
                <w:sz w:val="13"/>
                <w:szCs w:val="13"/>
                <w:b w:val="1"/>
                <w:bCs w:val="1"/>
                <w:color w:val="FFFFFF"/>
              </w:rPr>
              <w:t>​​​</w:t>
            </w:r>
          </w:p>
        </w:tc>
        <w:tc>
          <w:tcPr>
            <w:tcW w:w="10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(SCT)</w:t>
            </w:r>
          </w:p>
        </w:tc>
        <w:tc>
          <w:tcPr>
            <w:tcW w:w="200" w:type="dxa"/>
            <w:vAlign w:val="bottom"/>
            <w:shd w:val="clear" w:color="auto" w:fill="000000"/>
          </w:tcPr>
          <w:p>
            <w:pPr>
              <w:spacing w:after="0"/>
              <w:rPr>
                <w:sz w:val="14"/>
                <w:szCs w:val="14"/>
                <w:color w:val="auto"/>
              </w:rPr>
            </w:pPr>
          </w:p>
        </w:tc>
        <w:tc>
          <w:tcPr>
            <w:tcW w:w="106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(deducted)</w:t>
            </w:r>
          </w:p>
        </w:tc>
        <w:tc>
          <w:tcPr>
            <w:tcW w:w="180" w:type="dxa"/>
            <w:vAlign w:val="bottom"/>
            <w:shd w:val="clear" w:color="auto" w:fill="000000"/>
          </w:tcPr>
          <w:p>
            <w:pPr>
              <w:spacing w:after="0"/>
              <w:rPr>
                <w:sz w:val="14"/>
                <w:szCs w:val="14"/>
                <w:color w:val="auto"/>
              </w:rPr>
            </w:pPr>
          </w:p>
        </w:tc>
        <w:tc>
          <w:tcPr>
            <w:tcW w:w="8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(1)</w:t>
            </w:r>
          </w:p>
        </w:tc>
        <w:tc>
          <w:tcPr>
            <w:tcW w:w="200" w:type="dxa"/>
            <w:vAlign w:val="bottom"/>
            <w:shd w:val="clear" w:color="auto" w:fill="000000"/>
          </w:tcPr>
          <w:p>
            <w:pPr>
              <w:spacing w:after="0"/>
              <w:rPr>
                <w:sz w:val="14"/>
                <w:szCs w:val="14"/>
                <w:color w:val="auto"/>
              </w:rPr>
            </w:pPr>
          </w:p>
        </w:tc>
        <w:tc>
          <w:tcPr>
            <w:tcW w:w="100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Unvested (2)</w:t>
            </w:r>
          </w:p>
        </w:tc>
        <w:tc>
          <w:tcPr>
            <w:tcW w:w="160" w:type="dxa"/>
            <w:vAlign w:val="bottom"/>
            <w:shd w:val="clear" w:color="auto" w:fill="000000"/>
          </w:tcPr>
          <w:p>
            <w:pPr>
              <w:spacing w:after="0"/>
              <w:rPr>
                <w:sz w:val="14"/>
                <w:szCs w:val="14"/>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Vested (2)</w:t>
            </w:r>
          </w:p>
        </w:tc>
        <w:tc>
          <w:tcPr>
            <w:tcW w:w="180" w:type="dxa"/>
            <w:vAlign w:val="bottom"/>
            <w:shd w:val="clear" w:color="auto" w:fill="000000"/>
          </w:tcPr>
          <w:p>
            <w:pPr>
              <w:spacing w:after="0"/>
              <w:rPr>
                <w:sz w:val="14"/>
                <w:szCs w:val="14"/>
                <w:color w:val="auto"/>
              </w:rPr>
            </w:pPr>
          </w:p>
        </w:tc>
        <w:tc>
          <w:tcPr>
            <w:tcW w:w="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Vest (2)</w:t>
            </w:r>
          </w:p>
        </w:tc>
        <w:tc>
          <w:tcPr>
            <w:tcW w:w="240" w:type="dxa"/>
            <w:vAlign w:val="bottom"/>
            <w:shd w:val="clear" w:color="auto" w:fill="000000"/>
          </w:tcPr>
          <w:p>
            <w:pPr>
              <w:jc w:val="right"/>
              <w:ind w:right="33"/>
              <w:spacing w:after="0"/>
              <w:rPr>
                <w:sz w:val="20"/>
                <w:szCs w:val="20"/>
                <w:color w:val="auto"/>
              </w:rPr>
            </w:pPr>
            <w:r>
              <w:rPr>
                <w:rFonts w:ascii="Times New Roman" w:cs="Times New Roman" w:eastAsia="Times New Roman" w:hAnsi="Times New Roman"/>
                <w:sz w:val="13"/>
                <w:szCs w:val="13"/>
                <w:b w:val="1"/>
                <w:bCs w:val="1"/>
                <w:color w:val="FFFFFF"/>
              </w:rPr>
              <w:t>​​​</w:t>
            </w:r>
          </w:p>
        </w:tc>
        <w:tc>
          <w:tcPr>
            <w:tcW w:w="88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Adjustments</w:t>
            </w:r>
          </w:p>
        </w:tc>
        <w:tc>
          <w:tcPr>
            <w:tcW w:w="220" w:type="dxa"/>
            <w:vAlign w:val="bottom"/>
            <w:shd w:val="clear" w:color="auto" w:fill="000000"/>
          </w:tcPr>
          <w:p>
            <w:pPr>
              <w:spacing w:after="0"/>
              <w:rPr>
                <w:sz w:val="14"/>
                <w:szCs w:val="14"/>
                <w:color w:val="auto"/>
              </w:rPr>
            </w:pPr>
          </w:p>
        </w:tc>
        <w:tc>
          <w:tcPr>
            <w:tcW w:w="720" w:type="dxa"/>
            <w:vAlign w:val="bottom"/>
            <w:shd w:val="clear" w:color="auto" w:fill="000000"/>
          </w:tcPr>
          <w:p>
            <w:pPr>
              <w:jc w:val="right"/>
              <w:ind w:right="173"/>
              <w:spacing w:after="0"/>
              <w:rPr>
                <w:sz w:val="20"/>
                <w:szCs w:val="20"/>
                <w:color w:val="auto"/>
              </w:rPr>
            </w:pPr>
            <w:r>
              <w:rPr>
                <w:rFonts w:ascii="Times New Roman" w:cs="Times New Roman" w:eastAsia="Times New Roman" w:hAnsi="Times New Roman"/>
                <w:sz w:val="13"/>
                <w:szCs w:val="13"/>
                <w:b w:val="1"/>
                <w:bCs w:val="1"/>
                <w:color w:val="FFFFFF"/>
              </w:rPr>
              <w:t>CAP</w:t>
            </w:r>
          </w:p>
        </w:tc>
      </w:tr>
      <w:tr>
        <w:trPr>
          <w:trHeight w:val="162"/>
        </w:trPr>
        <w:tc>
          <w:tcPr>
            <w:tcW w:w="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3"/>
                <w:szCs w:val="13"/>
                <w:color w:val="202124"/>
              </w:rPr>
              <w:t>2024</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1020" w:type="dxa"/>
            <w:vAlign w:val="bottom"/>
            <w:tcBorders>
              <w:bottom w:val="single" w:sz="8" w:color="808080"/>
            </w:tcBorders>
          </w:tcPr>
          <w:p>
            <w:pPr>
              <w:jc w:val="right"/>
              <w:ind w:right="33"/>
              <w:spacing w:after="0"/>
              <w:rPr>
                <w:sz w:val="20"/>
                <w:szCs w:val="20"/>
                <w:color w:val="auto"/>
              </w:rPr>
            </w:pPr>
            <w:r>
              <w:rPr>
                <w:rFonts w:ascii="Times New Roman" w:cs="Times New Roman" w:eastAsia="Times New Roman" w:hAnsi="Times New Roman"/>
                <w:sz w:val="13"/>
                <w:szCs w:val="13"/>
                <w:color w:val="202124"/>
              </w:rPr>
              <w:t>6,046,598</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10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3"/>
                <w:szCs w:val="13"/>
                <w:color w:val="202124"/>
              </w:rPr>
              <w:t>(4,917,334)</w:t>
            </w:r>
          </w:p>
        </w:tc>
        <w:tc>
          <w:tcPr>
            <w:tcW w:w="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40" w:type="dxa"/>
            <w:vAlign w:val="bottom"/>
            <w:tcBorders>
              <w:bottom w:val="single" w:sz="8" w:color="808080"/>
            </w:tcBorders>
          </w:tcPr>
          <w:p>
            <w:pPr>
              <w:jc w:val="right"/>
              <w:ind w:right="33"/>
              <w:spacing w:after="0"/>
              <w:rPr>
                <w:sz w:val="20"/>
                <w:szCs w:val="20"/>
                <w:color w:val="auto"/>
              </w:rPr>
            </w:pPr>
            <w:r>
              <w:rPr>
                <w:rFonts w:ascii="Times New Roman" w:cs="Times New Roman" w:eastAsia="Times New Roman" w:hAnsi="Times New Roman"/>
                <w:sz w:val="13"/>
                <w:szCs w:val="13"/>
                <w:color w:val="202124"/>
              </w:rPr>
              <w:t>6,368,390</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100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3"/>
                <w:szCs w:val="13"/>
                <w:color w:val="202124"/>
              </w:rPr>
              <w:t>12,949,232</w:t>
            </w:r>
          </w:p>
        </w:tc>
        <w:tc>
          <w:tcPr>
            <w:tcW w:w="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98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3"/>
                <w:szCs w:val="13"/>
                <w:color w:val="202124"/>
              </w:rPr>
              <w:t>609,702</w:t>
            </w:r>
          </w:p>
        </w:tc>
        <w:tc>
          <w:tcPr>
            <w:tcW w:w="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6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3"/>
                <w:szCs w:val="13"/>
                <w:color w:val="202124"/>
              </w:rPr>
              <w:t>—</w:t>
            </w:r>
          </w:p>
        </w:tc>
        <w:tc>
          <w:tcPr>
            <w:tcW w:w="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8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3"/>
                <w:szCs w:val="13"/>
                <w:color w:val="202124"/>
              </w:rPr>
              <w:t>15,009,990</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21,056,588</w:t>
            </w:r>
          </w:p>
        </w:tc>
      </w:tr>
      <w:tr>
        <w:trPr>
          <w:trHeight w:val="142"/>
        </w:trPr>
        <w:tc>
          <w:tcPr>
            <w:tcW w:w="42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2023</w:t>
            </w:r>
          </w:p>
        </w:tc>
        <w:tc>
          <w:tcPr>
            <w:tcW w:w="2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18,796,822</w:t>
            </w:r>
          </w:p>
        </w:tc>
        <w:tc>
          <w:tcPr>
            <w:tcW w:w="2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202124"/>
              </w:rPr>
              <w:t>(15,966,758)</w:t>
            </w:r>
          </w:p>
        </w:tc>
        <w:tc>
          <w:tcPr>
            <w:tcW w:w="1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24,357,600</w:t>
            </w:r>
          </w:p>
        </w:tc>
        <w:tc>
          <w:tcPr>
            <w:tcW w:w="2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9,772,375</w:t>
            </w:r>
          </w:p>
        </w:tc>
        <w:tc>
          <w:tcPr>
            <w:tcW w:w="1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602,289</w:t>
            </w:r>
          </w:p>
        </w:tc>
        <w:tc>
          <w:tcPr>
            <w:tcW w:w="18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18,765,506</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37,562,328</w:t>
            </w:r>
          </w:p>
        </w:tc>
      </w:tr>
      <w:tr>
        <w:trPr>
          <w:trHeight w:val="149"/>
        </w:trPr>
        <w:tc>
          <w:tcPr>
            <w:tcW w:w="4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202124"/>
              </w:rPr>
              <w:t>2022</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14,330,010</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202124"/>
              </w:rPr>
              <w:t>(10,370,249)</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202124"/>
              </w:rPr>
              <w:t>20,198,760</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26,351,061</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2,673,630</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202124"/>
              </w:rPr>
              <w:t>38,853,203</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53,183,213</w:t>
            </w:r>
          </w:p>
        </w:tc>
      </w:tr>
    </w:tbl>
    <w:p>
      <w:pPr>
        <w:spacing w:after="0" w:line="107" w:lineRule="exact"/>
        <w:rPr>
          <w:sz w:val="20"/>
          <w:szCs w:val="20"/>
          <w:color w:val="auto"/>
        </w:rPr>
      </w:pPr>
    </w:p>
    <w:p>
      <w:pPr>
        <w:jc w:val="both"/>
        <w:ind w:left="960" w:right="160" w:hanging="316"/>
        <w:spacing w:after="0" w:line="266" w:lineRule="auto"/>
        <w:tabs>
          <w:tab w:leader="none" w:pos="960" w:val="left"/>
        </w:tabs>
        <w:numPr>
          <w:ilvl w:val="0"/>
          <w:numId w:val="100"/>
        </w:numPr>
        <w:rPr>
          <w:rFonts w:ascii="Arial" w:cs="Arial" w:eastAsia="Arial" w:hAnsi="Arial"/>
          <w:sz w:val="12"/>
          <w:szCs w:val="12"/>
          <w:color w:val="202124"/>
        </w:rPr>
      </w:pPr>
      <w:r>
        <w:rPr>
          <w:rFonts w:ascii="Arial" w:cs="Arial" w:eastAsia="Arial" w:hAnsi="Arial"/>
          <w:sz w:val="16"/>
          <w:szCs w:val="16"/>
          <w:color w:val="202124"/>
        </w:rPr>
        <w:t>Stock options are valued based on the Black-Scholes option pricing model as of the applicable measurement date. Stock options valued on a date other than the grant date are valued using the stock price and updated assumptions (i.e., term, volatility, interest rate) on such measurement date.</w:t>
      </w:r>
    </w:p>
    <w:p>
      <w:pPr>
        <w:spacing w:after="0" w:line="22" w:lineRule="exact"/>
        <w:rPr>
          <w:rFonts w:ascii="Arial" w:cs="Arial" w:eastAsia="Arial" w:hAnsi="Arial"/>
          <w:sz w:val="12"/>
          <w:szCs w:val="12"/>
          <w:color w:val="202124"/>
        </w:rPr>
      </w:pPr>
    </w:p>
    <w:p>
      <w:pPr>
        <w:ind w:left="960" w:right="40" w:hanging="316"/>
        <w:spacing w:after="0" w:line="266" w:lineRule="auto"/>
        <w:tabs>
          <w:tab w:leader="none" w:pos="960" w:val="left"/>
        </w:tabs>
        <w:numPr>
          <w:ilvl w:val="0"/>
          <w:numId w:val="100"/>
        </w:numPr>
        <w:rPr>
          <w:rFonts w:ascii="Arial" w:cs="Arial" w:eastAsia="Arial" w:hAnsi="Arial"/>
          <w:sz w:val="12"/>
          <w:szCs w:val="12"/>
          <w:color w:val="202124"/>
        </w:rPr>
      </w:pPr>
      <w:r>
        <w:rPr>
          <w:rFonts w:ascii="Arial" w:cs="Arial" w:eastAsia="Arial" w:hAnsi="Arial"/>
          <w:sz w:val="16"/>
          <w:szCs w:val="16"/>
          <w:color w:val="202124"/>
        </w:rPr>
        <w:t>The Non-PEO NEOs are comprised of: Messrs. Jackson, Newbern, Gould and Jaycox for fiscal year 2026, Messrs. Jackson, Newbern, Hackney and Jaycox for fiscal year 2025 and 2024, Messrs. Jackson, Newbern, Daniele and Frazer for fiscal years 2023 and 2022.</w:t>
      </w:r>
    </w:p>
    <w:p>
      <w:pPr>
        <w:spacing w:after="0" w:line="36" w:lineRule="exact"/>
        <w:rPr>
          <w:rFonts w:ascii="Arial" w:cs="Arial" w:eastAsia="Arial" w:hAnsi="Arial"/>
          <w:sz w:val="12"/>
          <w:szCs w:val="12"/>
          <w:color w:val="202124"/>
        </w:rPr>
      </w:pPr>
    </w:p>
    <w:p>
      <w:pPr>
        <w:ind w:left="960" w:hanging="316"/>
        <w:spacing w:after="0"/>
        <w:tabs>
          <w:tab w:leader="none" w:pos="960" w:val="left"/>
        </w:tabs>
        <w:numPr>
          <w:ilvl w:val="0"/>
          <w:numId w:val="100"/>
        </w:numPr>
        <w:rPr>
          <w:rFonts w:ascii="Arial" w:cs="Arial" w:eastAsia="Arial" w:hAnsi="Arial"/>
          <w:sz w:val="12"/>
          <w:szCs w:val="12"/>
          <w:color w:val="202124"/>
        </w:rPr>
      </w:pPr>
      <w:r>
        <w:rPr>
          <w:rFonts w:ascii="Arial" w:cs="Arial" w:eastAsia="Arial" w:hAnsi="Arial"/>
          <w:sz w:val="16"/>
          <w:szCs w:val="16"/>
          <w:color w:val="202124"/>
        </w:rPr>
        <w:t>Reconciliation of amounts shown in Summary Compensation Table to CAP to Non-PEO NEOs</w:t>
      </w:r>
    </w:p>
    <w:p>
      <w:pPr>
        <w:spacing w:after="0" w:line="100" w:lineRule="exact"/>
        <w:rPr>
          <w:sz w:val="20"/>
          <w:szCs w:val="20"/>
          <w:color w:val="auto"/>
        </w:rPr>
      </w:pPr>
    </w:p>
    <w:tbl>
      <w:tblPr>
        <w:tblLayout w:type="fixed"/>
        <w:tblInd w:w="960" w:type="dxa"/>
        <w:tblCellMar>
          <w:top w:w="0" w:type="dxa"/>
          <w:left w:w="0" w:type="dxa"/>
          <w:bottom w:w="0" w:type="dxa"/>
          <w:right w:w="0" w:type="dxa"/>
        </w:tblCellMar>
      </w:tblPr>
      <w:tr>
        <w:trPr>
          <w:trHeight w:val="483"/>
        </w:trPr>
        <w:tc>
          <w:tcPr>
            <w:tcW w:w="520" w:type="dxa"/>
            <w:vAlign w:val="bottom"/>
            <w:shd w:val="clear" w:color="auto" w:fill="000000"/>
          </w:tcPr>
          <w:p>
            <w:pPr>
              <w:spacing w:after="0"/>
              <w:rPr>
                <w:sz w:val="24"/>
                <w:szCs w:val="24"/>
                <w:color w:val="auto"/>
              </w:rPr>
            </w:pPr>
          </w:p>
        </w:tc>
        <w:tc>
          <w:tcPr>
            <w:tcW w:w="360" w:type="dxa"/>
            <w:vAlign w:val="bottom"/>
            <w:shd w:val="clear" w:color="auto" w:fill="000000"/>
          </w:tcPr>
          <w:p>
            <w:pPr>
              <w:spacing w:after="0"/>
              <w:rPr>
                <w:sz w:val="24"/>
                <w:szCs w:val="24"/>
                <w:color w:val="auto"/>
              </w:rPr>
            </w:pPr>
          </w:p>
        </w:tc>
        <w:tc>
          <w:tcPr>
            <w:tcW w:w="98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9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Value of Stock</w:t>
            </w:r>
          </w:p>
        </w:tc>
        <w:tc>
          <w:tcPr>
            <w:tcW w:w="220" w:type="dxa"/>
            <w:vAlign w:val="bottom"/>
            <w:shd w:val="clear" w:color="auto" w:fill="000000"/>
          </w:tcPr>
          <w:p>
            <w:pPr>
              <w:spacing w:after="0"/>
              <w:rPr>
                <w:sz w:val="24"/>
                <w:szCs w:val="24"/>
                <w:color w:val="auto"/>
              </w:rPr>
            </w:pPr>
          </w:p>
        </w:tc>
        <w:tc>
          <w:tcPr>
            <w:tcW w:w="82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94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98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r>
      <w:tr>
        <w:trPr>
          <w:trHeight w:val="149"/>
        </w:trPr>
        <w:tc>
          <w:tcPr>
            <w:tcW w:w="5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Awards and</w:t>
            </w: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Change in Fair</w:t>
            </w:r>
          </w:p>
        </w:tc>
        <w:tc>
          <w:tcPr>
            <w:tcW w:w="20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Change in Fair</w:t>
            </w: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Prior Year</w:t>
            </w:r>
          </w:p>
        </w:tc>
        <w:tc>
          <w:tcPr>
            <w:tcW w:w="220" w:type="dxa"/>
            <w:vAlign w:val="bottom"/>
            <w:shd w:val="clear" w:color="auto" w:fill="000000"/>
          </w:tcPr>
          <w:p>
            <w:pPr>
              <w:spacing w:after="0"/>
              <w:rPr>
                <w:sz w:val="12"/>
                <w:szCs w:val="12"/>
                <w:color w:val="auto"/>
              </w:rPr>
            </w:pPr>
          </w:p>
        </w:tc>
        <w:tc>
          <w:tcPr>
            <w:tcW w:w="8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700" w:type="dxa"/>
            <w:vAlign w:val="bottom"/>
            <w:shd w:val="clear" w:color="auto" w:fill="000000"/>
          </w:tcPr>
          <w:p>
            <w:pPr>
              <w:spacing w:after="0"/>
              <w:rPr>
                <w:sz w:val="12"/>
                <w:szCs w:val="12"/>
                <w:color w:val="auto"/>
              </w:rPr>
            </w:pPr>
          </w:p>
        </w:tc>
      </w:tr>
      <w:tr>
        <w:trPr>
          <w:trHeight w:val="148"/>
        </w:trPr>
        <w:tc>
          <w:tcPr>
            <w:tcW w:w="5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Option</w:t>
            </w: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w w:val="98"/>
              </w:rPr>
              <w:t>Year-End</w:t>
            </w: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Value of Prior</w:t>
            </w:r>
          </w:p>
        </w:tc>
        <w:tc>
          <w:tcPr>
            <w:tcW w:w="20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Value (from</w:t>
            </w: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Fair</w:t>
            </w:r>
          </w:p>
        </w:tc>
        <w:tc>
          <w:tcPr>
            <w:tcW w:w="220" w:type="dxa"/>
            <w:vAlign w:val="bottom"/>
            <w:shd w:val="clear" w:color="auto" w:fill="000000"/>
          </w:tcPr>
          <w:p>
            <w:pPr>
              <w:spacing w:after="0"/>
              <w:rPr>
                <w:sz w:val="12"/>
                <w:szCs w:val="12"/>
                <w:color w:val="auto"/>
              </w:rPr>
            </w:pPr>
          </w:p>
        </w:tc>
        <w:tc>
          <w:tcPr>
            <w:tcW w:w="8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700" w:type="dxa"/>
            <w:vAlign w:val="bottom"/>
            <w:shd w:val="clear" w:color="auto" w:fill="000000"/>
          </w:tcPr>
          <w:p>
            <w:pPr>
              <w:spacing w:after="0"/>
              <w:rPr>
                <w:sz w:val="12"/>
                <w:szCs w:val="12"/>
                <w:color w:val="auto"/>
              </w:rPr>
            </w:pPr>
          </w:p>
        </w:tc>
      </w:tr>
      <w:tr>
        <w:trPr>
          <w:trHeight w:val="148"/>
        </w:trPr>
        <w:tc>
          <w:tcPr>
            <w:tcW w:w="5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Summary</w:t>
            </w:r>
          </w:p>
        </w:tc>
        <w:tc>
          <w:tcPr>
            <w:tcW w:w="200" w:type="dxa"/>
            <w:vAlign w:val="bottom"/>
            <w:shd w:val="clear" w:color="auto" w:fill="000000"/>
          </w:tcPr>
          <w:p>
            <w:pPr>
              <w:spacing w:after="0"/>
              <w:rPr>
                <w:sz w:val="12"/>
                <w:szCs w:val="12"/>
                <w:color w:val="auto"/>
              </w:rPr>
            </w:pPr>
          </w:p>
        </w:tc>
        <w:tc>
          <w:tcPr>
            <w:tcW w:w="92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Awards</w:t>
            </w: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ind w:left="200"/>
              <w:spacing w:after="0"/>
              <w:rPr>
                <w:sz w:val="20"/>
                <w:szCs w:val="20"/>
                <w:color w:val="auto"/>
              </w:rPr>
            </w:pPr>
            <w:r>
              <w:rPr>
                <w:rFonts w:ascii="Times New Roman" w:cs="Times New Roman" w:eastAsia="Times New Roman" w:hAnsi="Times New Roman"/>
                <w:sz w:val="13"/>
                <w:szCs w:val="13"/>
                <w:b w:val="1"/>
                <w:bCs w:val="1"/>
                <w:color w:val="FFFFFF"/>
              </w:rPr>
              <w:t>Value</w:t>
            </w: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Year Awards-</w:t>
            </w:r>
          </w:p>
        </w:tc>
        <w:tc>
          <w:tcPr>
            <w:tcW w:w="20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Prior Year End)</w:t>
            </w: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Value of Prior</w:t>
            </w:r>
          </w:p>
        </w:tc>
        <w:tc>
          <w:tcPr>
            <w:tcW w:w="220" w:type="dxa"/>
            <w:vAlign w:val="bottom"/>
            <w:shd w:val="clear" w:color="auto" w:fill="000000"/>
          </w:tcPr>
          <w:p>
            <w:pPr>
              <w:spacing w:after="0"/>
              <w:rPr>
                <w:sz w:val="12"/>
                <w:szCs w:val="12"/>
                <w:color w:val="auto"/>
              </w:rPr>
            </w:pPr>
          </w:p>
        </w:tc>
        <w:tc>
          <w:tcPr>
            <w:tcW w:w="8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700" w:type="dxa"/>
            <w:vAlign w:val="bottom"/>
            <w:shd w:val="clear" w:color="auto" w:fill="000000"/>
          </w:tcPr>
          <w:p>
            <w:pPr>
              <w:spacing w:after="0"/>
              <w:rPr>
                <w:sz w:val="12"/>
                <w:szCs w:val="12"/>
                <w:color w:val="auto"/>
              </w:rPr>
            </w:pPr>
          </w:p>
        </w:tc>
      </w:tr>
      <w:tr>
        <w:trPr>
          <w:trHeight w:val="149"/>
        </w:trPr>
        <w:tc>
          <w:tcPr>
            <w:tcW w:w="5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Compensation</w:t>
            </w:r>
          </w:p>
        </w:tc>
        <w:tc>
          <w:tcPr>
            <w:tcW w:w="200" w:type="dxa"/>
            <w:vAlign w:val="bottom"/>
            <w:shd w:val="clear" w:color="auto" w:fill="000000"/>
          </w:tcPr>
          <w:p>
            <w:pPr>
              <w:spacing w:after="0"/>
              <w:rPr>
                <w:sz w:val="12"/>
                <w:szCs w:val="12"/>
                <w:color w:val="auto"/>
              </w:rPr>
            </w:pPr>
          </w:p>
        </w:tc>
        <w:tc>
          <w:tcPr>
            <w:tcW w:w="9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Reported in</w:t>
            </w: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53"/>
              <w:spacing w:after="0"/>
              <w:rPr>
                <w:sz w:val="20"/>
                <w:szCs w:val="20"/>
                <w:color w:val="auto"/>
              </w:rPr>
            </w:pPr>
            <w:r>
              <w:rPr>
                <w:rFonts w:ascii="Times New Roman" w:cs="Times New Roman" w:eastAsia="Times New Roman" w:hAnsi="Times New Roman"/>
                <w:sz w:val="13"/>
                <w:szCs w:val="13"/>
                <w:b w:val="1"/>
                <w:bCs w:val="1"/>
                <w:color w:val="FFFFFF"/>
              </w:rPr>
              <w:t>of Awards</w:t>
            </w: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Outstanding</w:t>
            </w:r>
          </w:p>
        </w:tc>
        <w:tc>
          <w:tcPr>
            <w:tcW w:w="20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of Prior Year</w:t>
            </w: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Year Awards</w:t>
            </w:r>
          </w:p>
        </w:tc>
        <w:tc>
          <w:tcPr>
            <w:tcW w:w="220" w:type="dxa"/>
            <w:vAlign w:val="bottom"/>
            <w:shd w:val="clear" w:color="auto" w:fill="000000"/>
          </w:tcPr>
          <w:p>
            <w:pPr>
              <w:spacing w:after="0"/>
              <w:rPr>
                <w:sz w:val="12"/>
                <w:szCs w:val="12"/>
                <w:color w:val="auto"/>
              </w:rPr>
            </w:pPr>
          </w:p>
        </w:tc>
        <w:tc>
          <w:tcPr>
            <w:tcW w:w="8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700" w:type="dxa"/>
            <w:vAlign w:val="bottom"/>
            <w:shd w:val="clear" w:color="auto" w:fill="000000"/>
          </w:tcPr>
          <w:p>
            <w:pPr>
              <w:spacing w:after="0"/>
              <w:rPr>
                <w:sz w:val="12"/>
                <w:szCs w:val="12"/>
                <w:color w:val="auto"/>
              </w:rPr>
            </w:pPr>
          </w:p>
        </w:tc>
      </w:tr>
      <w:tr>
        <w:trPr>
          <w:trHeight w:val="148"/>
        </w:trPr>
        <w:tc>
          <w:tcPr>
            <w:tcW w:w="5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b w:val="1"/>
                <w:bCs w:val="1"/>
                <w:color w:val="FFFFFF"/>
              </w:rPr>
              <w:t>Fiscal</w:t>
            </w:r>
          </w:p>
        </w:tc>
        <w:tc>
          <w:tcPr>
            <w:tcW w:w="36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Table Total</w:t>
            </w:r>
          </w:p>
        </w:tc>
        <w:tc>
          <w:tcPr>
            <w:tcW w:w="200" w:type="dxa"/>
            <w:vAlign w:val="bottom"/>
            <w:shd w:val="clear" w:color="auto" w:fill="000000"/>
          </w:tcPr>
          <w:p>
            <w:pPr>
              <w:spacing w:after="0"/>
              <w:rPr>
                <w:sz w:val="12"/>
                <w:szCs w:val="12"/>
                <w:color w:val="auto"/>
              </w:rPr>
            </w:pPr>
          </w:p>
        </w:tc>
        <w:tc>
          <w:tcPr>
            <w:tcW w:w="9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SCT</w:t>
            </w: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33"/>
              <w:spacing w:after="0"/>
              <w:rPr>
                <w:sz w:val="20"/>
                <w:szCs w:val="20"/>
                <w:color w:val="auto"/>
              </w:rPr>
            </w:pPr>
            <w:r>
              <w:rPr>
                <w:rFonts w:ascii="Times New Roman" w:cs="Times New Roman" w:eastAsia="Times New Roman" w:hAnsi="Times New Roman"/>
                <w:sz w:val="13"/>
                <w:szCs w:val="13"/>
                <w:b w:val="1"/>
                <w:bCs w:val="1"/>
                <w:color w:val="FFFFFF"/>
              </w:rPr>
              <w:t>Granted in</w:t>
            </w: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and</w:t>
            </w:r>
          </w:p>
        </w:tc>
        <w:tc>
          <w:tcPr>
            <w:tcW w:w="20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Awards-</w:t>
            </w: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right="13"/>
              <w:spacing w:after="0"/>
              <w:rPr>
                <w:sz w:val="20"/>
                <w:szCs w:val="20"/>
                <w:color w:val="auto"/>
              </w:rPr>
            </w:pPr>
            <w:r>
              <w:rPr>
                <w:rFonts w:ascii="Times New Roman" w:cs="Times New Roman" w:eastAsia="Times New Roman" w:hAnsi="Times New Roman"/>
                <w:sz w:val="13"/>
                <w:szCs w:val="13"/>
                <w:b w:val="1"/>
                <w:bCs w:val="1"/>
                <w:color w:val="FFFFFF"/>
              </w:rPr>
              <w:t>that Failed to</w:t>
            </w:r>
          </w:p>
        </w:tc>
        <w:tc>
          <w:tcPr>
            <w:tcW w:w="220" w:type="dxa"/>
            <w:vAlign w:val="bottom"/>
            <w:shd w:val="clear" w:color="auto" w:fill="000000"/>
          </w:tcPr>
          <w:p>
            <w:pPr>
              <w:spacing w:after="0"/>
              <w:rPr>
                <w:sz w:val="12"/>
                <w:szCs w:val="12"/>
                <w:color w:val="auto"/>
              </w:rPr>
            </w:pPr>
          </w:p>
        </w:tc>
        <w:tc>
          <w:tcPr>
            <w:tcW w:w="860" w:type="dxa"/>
            <w:vAlign w:val="bottom"/>
            <w:shd w:val="clear" w:color="auto" w:fill="000000"/>
          </w:tcPr>
          <w:p>
            <w:pPr>
              <w:jc w:val="right"/>
              <w:ind w:right="253"/>
              <w:spacing w:after="0"/>
              <w:rPr>
                <w:sz w:val="20"/>
                <w:szCs w:val="20"/>
                <w:color w:val="auto"/>
              </w:rPr>
            </w:pPr>
            <w:r>
              <w:rPr>
                <w:rFonts w:ascii="Times New Roman" w:cs="Times New Roman" w:eastAsia="Times New Roman" w:hAnsi="Times New Roman"/>
                <w:sz w:val="13"/>
                <w:szCs w:val="13"/>
                <w:b w:val="1"/>
                <w:bCs w:val="1"/>
                <w:color w:val="FFFFFF"/>
              </w:rPr>
              <w:t>Total</w:t>
            </w:r>
          </w:p>
        </w:tc>
        <w:tc>
          <w:tcPr>
            <w:tcW w:w="240" w:type="dxa"/>
            <w:vAlign w:val="bottom"/>
            <w:shd w:val="clear" w:color="auto" w:fill="000000"/>
          </w:tcPr>
          <w:p>
            <w:pPr>
              <w:spacing w:after="0"/>
              <w:rPr>
                <w:sz w:val="12"/>
                <w:szCs w:val="12"/>
                <w:color w:val="auto"/>
              </w:rPr>
            </w:pPr>
          </w:p>
        </w:tc>
        <w:tc>
          <w:tcPr>
            <w:tcW w:w="700" w:type="dxa"/>
            <w:vAlign w:val="bottom"/>
            <w:shd w:val="clear" w:color="auto" w:fill="000000"/>
          </w:tcPr>
          <w:p>
            <w:pPr>
              <w:spacing w:after="0"/>
              <w:rPr>
                <w:sz w:val="12"/>
                <w:szCs w:val="12"/>
                <w:color w:val="auto"/>
              </w:rPr>
            </w:pPr>
          </w:p>
        </w:tc>
      </w:tr>
      <w:tr>
        <w:trPr>
          <w:trHeight w:val="165"/>
        </w:trPr>
        <w:tc>
          <w:tcPr>
            <w:tcW w:w="5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3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(SCT)</w:t>
            </w:r>
          </w:p>
        </w:tc>
        <w:tc>
          <w:tcPr>
            <w:tcW w:w="2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9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(deducted)</w:t>
            </w:r>
          </w:p>
        </w:tc>
        <w:tc>
          <w:tcPr>
            <w:tcW w:w="1040" w:type="dxa"/>
            <w:vAlign w:val="bottom"/>
            <w:gridSpan w:val="2"/>
            <w:shd w:val="clear" w:color="auto" w:fill="000000"/>
          </w:tcPr>
          <w:p>
            <w:pPr>
              <w:ind w:left="40"/>
              <w:spacing w:after="0"/>
              <w:rPr>
                <w:sz w:val="20"/>
                <w:szCs w:val="20"/>
                <w:color w:val="auto"/>
              </w:rPr>
            </w:pPr>
            <w:r>
              <w:rPr>
                <w:rFonts w:ascii="Times New Roman" w:cs="Times New Roman" w:eastAsia="Times New Roman" w:hAnsi="Times New Roman"/>
                <w:sz w:val="13"/>
                <w:szCs w:val="13"/>
                <w:b w:val="1"/>
                <w:bCs w:val="1"/>
                <w:color w:val="FFFFFF"/>
              </w:rPr>
              <w:t>​​​ Fiscal Year (1)</w:t>
            </w:r>
          </w:p>
        </w:tc>
        <w:tc>
          <w:tcPr>
            <w:tcW w:w="2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9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Unvested (2)</w:t>
            </w:r>
          </w:p>
        </w:tc>
        <w:tc>
          <w:tcPr>
            <w:tcW w:w="2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Vested (2)</w:t>
            </w:r>
          </w:p>
        </w:tc>
        <w:tc>
          <w:tcPr>
            <w:tcW w:w="2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8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rPr>
              <w:t>Vest (2)</w:t>
            </w:r>
          </w:p>
        </w:tc>
        <w:tc>
          <w:tcPr>
            <w:tcW w:w="220" w:type="dxa"/>
            <w:vAlign w:val="bottom"/>
            <w:shd w:val="clear" w:color="auto" w:fill="000000"/>
          </w:tcPr>
          <w:p>
            <w:pPr>
              <w:jc w:val="right"/>
              <w:ind w:right="13"/>
              <w:spacing w:after="0"/>
              <w:rPr>
                <w:sz w:val="20"/>
                <w:szCs w:val="20"/>
                <w:color w:val="auto"/>
              </w:rPr>
            </w:pPr>
            <w:r>
              <w:rPr>
                <w:rFonts w:ascii="Times New Roman" w:cs="Times New Roman" w:eastAsia="Times New Roman" w:hAnsi="Times New Roman"/>
                <w:sz w:val="13"/>
                <w:szCs w:val="13"/>
                <w:b w:val="1"/>
                <w:bCs w:val="1"/>
                <w:color w:val="FFFFFF"/>
              </w:rPr>
              <w:t>​​​</w:t>
            </w:r>
          </w:p>
        </w:tc>
        <w:tc>
          <w:tcPr>
            <w:tcW w:w="860" w:type="dxa"/>
            <w:vAlign w:val="bottom"/>
            <w:shd w:val="clear" w:color="auto" w:fill="000000"/>
          </w:tcPr>
          <w:p>
            <w:pPr>
              <w:jc w:val="right"/>
              <w:ind w:right="33"/>
              <w:spacing w:after="0"/>
              <w:rPr>
                <w:sz w:val="20"/>
                <w:szCs w:val="20"/>
                <w:color w:val="auto"/>
              </w:rPr>
            </w:pPr>
            <w:r>
              <w:rPr>
                <w:rFonts w:ascii="Times New Roman" w:cs="Times New Roman" w:eastAsia="Times New Roman" w:hAnsi="Times New Roman"/>
                <w:sz w:val="13"/>
                <w:szCs w:val="13"/>
                <w:b w:val="1"/>
                <w:bCs w:val="1"/>
                <w:color w:val="FFFFFF"/>
              </w:rPr>
              <w:t>Adjustments</w:t>
            </w:r>
          </w:p>
        </w:tc>
        <w:tc>
          <w:tcPr>
            <w:tcW w:w="240" w:type="dxa"/>
            <w:vAlign w:val="bottom"/>
            <w:shd w:val="clear" w:color="auto" w:fill="000000"/>
          </w:tcPr>
          <w:p>
            <w:pPr>
              <w:jc w:val="right"/>
              <w:ind w:right="33"/>
              <w:spacing w:after="0"/>
              <w:rPr>
                <w:sz w:val="20"/>
                <w:szCs w:val="20"/>
                <w:color w:val="auto"/>
              </w:rPr>
            </w:pPr>
            <w:r>
              <w:rPr>
                <w:rFonts w:ascii="Times New Roman" w:cs="Times New Roman" w:eastAsia="Times New Roman" w:hAnsi="Times New Roman"/>
                <w:sz w:val="13"/>
                <w:szCs w:val="13"/>
                <w:b w:val="1"/>
                <w:bCs w:val="1"/>
                <w:color w:val="FFFFFF"/>
              </w:rPr>
              <w:t>​​​</w:t>
            </w:r>
          </w:p>
        </w:tc>
        <w:tc>
          <w:tcPr>
            <w:tcW w:w="700" w:type="dxa"/>
            <w:vAlign w:val="bottom"/>
            <w:shd w:val="clear" w:color="auto" w:fill="000000"/>
          </w:tcPr>
          <w:p>
            <w:pPr>
              <w:jc w:val="right"/>
              <w:ind w:right="173"/>
              <w:spacing w:after="0"/>
              <w:rPr>
                <w:sz w:val="20"/>
                <w:szCs w:val="20"/>
                <w:color w:val="auto"/>
              </w:rPr>
            </w:pPr>
            <w:r>
              <w:rPr>
                <w:rFonts w:ascii="Times New Roman" w:cs="Times New Roman" w:eastAsia="Times New Roman" w:hAnsi="Times New Roman"/>
                <w:sz w:val="13"/>
                <w:szCs w:val="13"/>
                <w:b w:val="1"/>
                <w:bCs w:val="1"/>
                <w:color w:val="FFFFFF"/>
              </w:rPr>
              <w:t>CAP</w:t>
            </w:r>
          </w:p>
        </w:tc>
      </w:tr>
      <w:tr>
        <w:trPr>
          <w:trHeight w:val="162"/>
        </w:trPr>
        <w:tc>
          <w:tcPr>
            <w:tcW w:w="5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3"/>
                <w:szCs w:val="13"/>
                <w:color w:val="202124"/>
              </w:rPr>
              <w:t>2026</w:t>
            </w:r>
          </w:p>
        </w:tc>
        <w:tc>
          <w:tcPr>
            <w:tcW w:w="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9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7,778,912</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9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(6,410,736)</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20" w:type="dxa"/>
            <w:vAlign w:val="bottom"/>
            <w:tcBorders>
              <w:bottom w:val="single" w:sz="8" w:color="808080"/>
            </w:tcBorders>
          </w:tcPr>
          <w:p>
            <w:pPr>
              <w:ind w:left="220"/>
              <w:spacing w:after="0"/>
              <w:rPr>
                <w:sz w:val="20"/>
                <w:szCs w:val="20"/>
                <w:color w:val="auto"/>
              </w:rPr>
            </w:pPr>
            <w:r>
              <w:rPr>
                <w:rFonts w:ascii="Times New Roman" w:cs="Times New Roman" w:eastAsia="Times New Roman" w:hAnsi="Times New Roman"/>
                <w:sz w:val="13"/>
                <w:szCs w:val="13"/>
                <w:color w:val="202124"/>
              </w:rPr>
              <w:t>2,042,407</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9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175,915</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9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3,322,262</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8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(870,153)</w:t>
            </w:r>
          </w:p>
        </w:tc>
        <w:tc>
          <w:tcPr>
            <w:tcW w:w="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w:t>
            </w: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3"/>
                <w:szCs w:val="13"/>
                <w:color w:val="202124"/>
              </w:rPr>
              <w:t>6,908,759</w:t>
            </w:r>
          </w:p>
        </w:tc>
      </w:tr>
      <w:tr>
        <w:trPr>
          <w:trHeight w:val="142"/>
        </w:trPr>
        <w:tc>
          <w:tcPr>
            <w:tcW w:w="52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2025</w:t>
            </w: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6,009,622</w:t>
            </w:r>
          </w:p>
        </w:tc>
        <w:tc>
          <w:tcPr>
            <w:tcW w:w="2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(4,685,046)</w:t>
            </w:r>
          </w:p>
        </w:tc>
        <w:tc>
          <w:tcPr>
            <w:tcW w:w="2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ind w:left="220"/>
              <w:spacing w:after="0" w:line="142" w:lineRule="exact"/>
              <w:rPr>
                <w:sz w:val="20"/>
                <w:szCs w:val="20"/>
                <w:color w:val="auto"/>
              </w:rPr>
            </w:pPr>
            <w:r>
              <w:rPr>
                <w:rFonts w:ascii="Times New Roman" w:cs="Times New Roman" w:eastAsia="Times New Roman" w:hAnsi="Times New Roman"/>
                <w:sz w:val="13"/>
                <w:szCs w:val="13"/>
                <w:color w:val="202124"/>
              </w:rPr>
              <w:t>7,468,673</w:t>
            </w:r>
          </w:p>
        </w:tc>
        <w:tc>
          <w:tcPr>
            <w:tcW w:w="2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4,928,928</w:t>
            </w:r>
          </w:p>
        </w:tc>
        <w:tc>
          <w:tcPr>
            <w:tcW w:w="2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(133,011)</w:t>
            </w:r>
          </w:p>
        </w:tc>
        <w:tc>
          <w:tcPr>
            <w:tcW w:w="2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7,579,544</w:t>
            </w:r>
          </w:p>
        </w:tc>
        <w:tc>
          <w:tcPr>
            <w:tcW w:w="2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13,589,166</w:t>
            </w:r>
          </w:p>
        </w:tc>
      </w:tr>
      <w:tr>
        <w:trPr>
          <w:trHeight w:val="142"/>
        </w:trPr>
        <w:tc>
          <w:tcPr>
            <w:tcW w:w="52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2024</w:t>
            </w: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6,209,177</w:t>
            </w:r>
          </w:p>
        </w:tc>
        <w:tc>
          <w:tcPr>
            <w:tcW w:w="2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(5,105,044)</w:t>
            </w:r>
          </w:p>
        </w:tc>
        <w:tc>
          <w:tcPr>
            <w:tcW w:w="2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ind w:left="220"/>
              <w:spacing w:after="0" w:line="142" w:lineRule="exact"/>
              <w:rPr>
                <w:sz w:val="20"/>
                <w:szCs w:val="20"/>
                <w:color w:val="auto"/>
              </w:rPr>
            </w:pPr>
            <w:r>
              <w:rPr>
                <w:rFonts w:ascii="Times New Roman" w:cs="Times New Roman" w:eastAsia="Times New Roman" w:hAnsi="Times New Roman"/>
                <w:sz w:val="13"/>
                <w:szCs w:val="13"/>
                <w:color w:val="202124"/>
              </w:rPr>
              <w:t>6,522,730</w:t>
            </w:r>
          </w:p>
        </w:tc>
        <w:tc>
          <w:tcPr>
            <w:tcW w:w="2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1,924,159</w:t>
            </w:r>
          </w:p>
        </w:tc>
        <w:tc>
          <w:tcPr>
            <w:tcW w:w="2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17,471</w:t>
            </w:r>
          </w:p>
        </w:tc>
        <w:tc>
          <w:tcPr>
            <w:tcW w:w="2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3,359,316</w:t>
            </w:r>
          </w:p>
        </w:tc>
        <w:tc>
          <w:tcPr>
            <w:tcW w:w="2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9,568,493</w:t>
            </w:r>
          </w:p>
        </w:tc>
      </w:tr>
      <w:tr>
        <w:trPr>
          <w:trHeight w:val="142"/>
        </w:trPr>
        <w:tc>
          <w:tcPr>
            <w:tcW w:w="520" w:type="dxa"/>
            <w:vAlign w:val="bottom"/>
            <w:tcBorders>
              <w:bottom w:val="single" w:sz="8" w:color="808080"/>
            </w:tcBorders>
          </w:tcPr>
          <w:p>
            <w:pPr>
              <w:spacing w:after="0" w:line="142" w:lineRule="exact"/>
              <w:rPr>
                <w:sz w:val="20"/>
                <w:szCs w:val="20"/>
                <w:color w:val="auto"/>
              </w:rPr>
            </w:pPr>
            <w:r>
              <w:rPr>
                <w:rFonts w:ascii="Times New Roman" w:cs="Times New Roman" w:eastAsia="Times New Roman" w:hAnsi="Times New Roman"/>
                <w:sz w:val="13"/>
                <w:szCs w:val="13"/>
                <w:color w:val="202124"/>
              </w:rPr>
              <w:t>2023</w:t>
            </w: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5,404,080</w:t>
            </w:r>
          </w:p>
        </w:tc>
        <w:tc>
          <w:tcPr>
            <w:tcW w:w="2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(4,245,009)</w:t>
            </w:r>
          </w:p>
        </w:tc>
        <w:tc>
          <w:tcPr>
            <w:tcW w:w="2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ind w:left="220"/>
              <w:spacing w:after="0" w:line="142" w:lineRule="exact"/>
              <w:rPr>
                <w:sz w:val="20"/>
                <w:szCs w:val="20"/>
                <w:color w:val="auto"/>
              </w:rPr>
            </w:pPr>
            <w:r>
              <w:rPr>
                <w:rFonts w:ascii="Times New Roman" w:cs="Times New Roman" w:eastAsia="Times New Roman" w:hAnsi="Times New Roman"/>
                <w:sz w:val="13"/>
                <w:szCs w:val="13"/>
                <w:color w:val="202124"/>
              </w:rPr>
              <w:t>6,476,196</w:t>
            </w:r>
          </w:p>
        </w:tc>
        <w:tc>
          <w:tcPr>
            <w:tcW w:w="2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2,317,977</w:t>
            </w:r>
          </w:p>
        </w:tc>
        <w:tc>
          <w:tcPr>
            <w:tcW w:w="2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124,116</w:t>
            </w:r>
          </w:p>
        </w:tc>
        <w:tc>
          <w:tcPr>
            <w:tcW w:w="2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4,673,280</w:t>
            </w:r>
          </w:p>
        </w:tc>
        <w:tc>
          <w:tcPr>
            <w:tcW w:w="2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10,077,359</w:t>
            </w:r>
          </w:p>
        </w:tc>
      </w:tr>
      <w:tr>
        <w:trPr>
          <w:trHeight w:val="149"/>
        </w:trPr>
        <w:tc>
          <w:tcPr>
            <w:tcW w:w="5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202124"/>
              </w:rPr>
              <w:t>2022</w:t>
            </w: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4,403,231</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(2,886,928)</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3"/>
                <w:szCs w:val="13"/>
                <w:color w:val="202124"/>
              </w:rPr>
              <w:t>5,633,491</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5,210,600</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534,626</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640"/>
              <w:spacing w:after="0" w:line="142" w:lineRule="exact"/>
              <w:rPr>
                <w:sz w:val="20"/>
                <w:szCs w:val="20"/>
                <w:color w:val="auto"/>
              </w:rPr>
            </w:pPr>
            <w:r>
              <w:rPr>
                <w:rFonts w:ascii="Times New Roman" w:cs="Times New Roman" w:eastAsia="Times New Roman" w:hAnsi="Times New Roman"/>
                <w:sz w:val="13"/>
                <w:szCs w:val="13"/>
                <w:color w:val="202124"/>
              </w:rPr>
              <w:t>—</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8,491,789</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202124"/>
              </w:rPr>
              <w:t>12,895,019</w:t>
            </w:r>
          </w:p>
        </w:tc>
      </w:tr>
    </w:tbl>
    <w:p>
      <w:pPr>
        <w:spacing w:after="0" w:line="107" w:lineRule="exact"/>
        <w:rPr>
          <w:sz w:val="20"/>
          <w:szCs w:val="20"/>
          <w:color w:val="auto"/>
        </w:rPr>
      </w:pPr>
    </w:p>
    <w:p>
      <w:pPr>
        <w:ind w:left="960" w:right="120" w:hanging="316"/>
        <w:spacing w:after="0" w:line="266" w:lineRule="auto"/>
        <w:tabs>
          <w:tab w:leader="none" w:pos="960" w:val="left"/>
        </w:tabs>
        <w:numPr>
          <w:ilvl w:val="0"/>
          <w:numId w:val="101"/>
        </w:numPr>
        <w:rPr>
          <w:rFonts w:ascii="Arial" w:cs="Arial" w:eastAsia="Arial" w:hAnsi="Arial"/>
          <w:sz w:val="12"/>
          <w:szCs w:val="12"/>
          <w:color w:val="202124"/>
        </w:rPr>
      </w:pPr>
      <w:r>
        <w:rPr>
          <w:rFonts w:ascii="Arial" w:cs="Arial" w:eastAsia="Arial" w:hAnsi="Arial"/>
          <w:sz w:val="16"/>
          <w:szCs w:val="16"/>
          <w:color w:val="202124"/>
        </w:rPr>
        <w:t>Represents the weighted peer group total shareholder return (“TSR”), weighted according to each of the companies’ respective market capitalizations at the beginning of each period for which a return is indicated. The Company's peer group is the S&amp;P Retail Index as reflected in our Annual Report on Form 10-K for fiscal year 2026.</w:t>
      </w:r>
    </w:p>
    <w:p>
      <w:pPr>
        <w:spacing w:after="0" w:line="22" w:lineRule="exact"/>
        <w:rPr>
          <w:rFonts w:ascii="Arial" w:cs="Arial" w:eastAsia="Arial" w:hAnsi="Arial"/>
          <w:sz w:val="12"/>
          <w:szCs w:val="12"/>
          <w:color w:val="202124"/>
        </w:rPr>
      </w:pPr>
    </w:p>
    <w:p>
      <w:pPr>
        <w:ind w:left="960" w:right="80" w:hanging="316"/>
        <w:spacing w:after="0" w:line="259" w:lineRule="auto"/>
        <w:tabs>
          <w:tab w:leader="none" w:pos="960" w:val="left"/>
        </w:tabs>
        <w:numPr>
          <w:ilvl w:val="0"/>
          <w:numId w:val="101"/>
        </w:numPr>
        <w:rPr>
          <w:rFonts w:ascii="Arial" w:cs="Arial" w:eastAsia="Arial" w:hAnsi="Arial"/>
          <w:sz w:val="12"/>
          <w:szCs w:val="12"/>
          <w:color w:val="202124"/>
        </w:rPr>
      </w:pPr>
      <w:r>
        <w:rPr>
          <w:rFonts w:ascii="Arial" w:cs="Arial" w:eastAsia="Arial" w:hAnsi="Arial"/>
          <w:sz w:val="16"/>
          <w:szCs w:val="16"/>
          <w:color w:val="202124"/>
        </w:rPr>
        <w:t>Economic Profit was selected by the Company as the “most important” financial performance measure (that is not otherwise required to be disclosed in the table above) used to link CAP to Company performance for the most recently completed fiscal year, or the Company-Selected Measure. See page 53 of “Compensation Discussion and Analysis” for more information about how Economic Profit is calculated.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70   </w:t>
      </w:r>
      <w:r>
        <w:rPr>
          <w:sz w:val="1"/>
          <w:szCs w:val="1"/>
          <w:color w:val="auto"/>
        </w:rPr>
        <w:drawing>
          <wp:inline distT="0" distB="0" distL="0" distR="0">
            <wp:extent cx="1165860" cy="137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80"/>
          </w:cols>
          <w:pgMar w:left="440" w:top="106" w:right="1079" w:bottom="1440" w:gutter="0" w:footer="0" w:header="0"/>
        </w:sectPr>
      </w:pPr>
    </w:p>
    <w:bookmarkStart w:id="73" w:name="page74"/>
    <w:bookmarkEnd w:id="7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40"/>
        <w:spacing w:after="0" w:line="271" w:lineRule="auto"/>
        <w:rPr>
          <w:sz w:val="20"/>
          <w:szCs w:val="20"/>
          <w:color w:val="auto"/>
        </w:rPr>
      </w:pPr>
      <w:r>
        <w:rPr>
          <w:rFonts w:ascii="Arial" w:cs="Arial" w:eastAsia="Arial" w:hAnsi="Arial"/>
          <w:sz w:val="18"/>
          <w:szCs w:val="18"/>
          <w:color w:val="202124"/>
        </w:rPr>
        <w:t>Aggregate change in the actuarial present value of the accumulated benefits (deducted)” and “Aggregate service cost and prior service cost for pension benefits” intentionally omitted as such amounts are not applicable.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Relationship between CAP and Performance Measures</w:t>
      </w:r>
    </w:p>
    <w:p>
      <w:pPr>
        <w:spacing w:after="0" w:line="171" w:lineRule="exact"/>
        <w:rPr>
          <w:sz w:val="20"/>
          <w:szCs w:val="20"/>
          <w:color w:val="auto"/>
        </w:rPr>
      </w:pPr>
    </w:p>
    <w:p>
      <w:pPr>
        <w:ind w:left="640" w:right="160"/>
        <w:spacing w:after="0" w:line="259" w:lineRule="auto"/>
        <w:rPr>
          <w:sz w:val="20"/>
          <w:szCs w:val="20"/>
          <w:color w:val="auto"/>
        </w:rPr>
      </w:pPr>
      <w:r>
        <w:rPr>
          <w:rFonts w:ascii="Arial" w:cs="Arial" w:eastAsia="Arial" w:hAnsi="Arial"/>
          <w:sz w:val="17"/>
          <w:szCs w:val="17"/>
          <w:color w:val="202124"/>
        </w:rPr>
        <w:t>As discussed below, the relationship between the CAP to the PEO and the Average CAP to the Other NEOs in FY 2022, 2023, 2024, 2025 and 2026 (collectively, “NEO Compensation Actually Paid”) to each of (1) Net income, (2) TSR, and</w:t>
      </w:r>
    </w:p>
    <w:p>
      <w:pPr>
        <w:spacing w:after="0" w:line="1" w:lineRule="exact"/>
        <w:rPr>
          <w:sz w:val="20"/>
          <w:szCs w:val="20"/>
          <w:color w:val="auto"/>
        </w:rPr>
      </w:pPr>
    </w:p>
    <w:p>
      <w:pPr>
        <w:ind w:left="640" w:right="160" w:firstLine="4"/>
        <w:spacing w:after="0" w:line="242" w:lineRule="auto"/>
        <w:tabs>
          <w:tab w:leader="none" w:pos="910" w:val="left"/>
        </w:tabs>
        <w:numPr>
          <w:ilvl w:val="0"/>
          <w:numId w:val="102"/>
        </w:numPr>
        <w:rPr>
          <w:rFonts w:ascii="Arial" w:cs="Arial" w:eastAsia="Arial" w:hAnsi="Arial"/>
          <w:sz w:val="18"/>
          <w:szCs w:val="18"/>
          <w:color w:val="202124"/>
        </w:rPr>
      </w:pPr>
      <w:r>
        <w:rPr>
          <w:rFonts w:ascii="Arial" w:cs="Arial" w:eastAsia="Arial" w:hAnsi="Arial"/>
          <w:sz w:val="18"/>
          <w:szCs w:val="18"/>
          <w:color w:val="202124"/>
        </w:rPr>
        <w:t>Economic Profit demonstrates that such compensation fluctuates in a manner that is consistent with the Company’s achievement of its goals and increasing value for shareholders in line with the Company’s compensation philosophy and performance-based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71</w:t>
            </w:r>
          </w:p>
        </w:tc>
      </w:tr>
    </w:tbl>
    <w:p>
      <w:pPr>
        <w:sectPr>
          <w:pgSz w:w="11900" w:h="16838" w:orient="portrait"/>
          <w:cols w:equalWidth="0" w:num="1">
            <w:col w:w="10360"/>
          </w:cols>
          <w:pgMar w:left="440" w:top="106" w:right="1099" w:bottom="1440" w:gutter="0" w:footer="0" w:header="0"/>
        </w:sectPr>
      </w:pPr>
    </w:p>
    <w:bookmarkStart w:id="74" w:name="page75"/>
    <w:bookmarkEnd w:id="7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72   </w:t>
      </w:r>
      <w:r>
        <w:rPr>
          <w:sz w:val="1"/>
          <w:szCs w:val="1"/>
          <w:color w:val="auto"/>
        </w:rPr>
        <w:drawing>
          <wp:inline distT="0" distB="0" distL="0" distR="0">
            <wp:extent cx="1165860"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75" w:name="page76"/>
    <w:bookmarkEnd w:id="7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480"/>
        <w:spacing w:after="0" w:line="271" w:lineRule="auto"/>
        <w:rPr>
          <w:sz w:val="20"/>
          <w:szCs w:val="20"/>
          <w:color w:val="auto"/>
        </w:rPr>
      </w:pPr>
      <w:r>
        <w:rPr>
          <w:rFonts w:ascii="Arial" w:cs="Arial" w:eastAsia="Arial" w:hAnsi="Arial"/>
          <w:sz w:val="18"/>
          <w:szCs w:val="18"/>
          <w:color w:val="202124"/>
        </w:rPr>
        <w:t>The primary driver of CAP is TSR. CAP is also influenced to a lesser extent by the other Company selected financial performance measures, but more as a function of their impact on TSR.</w:t>
      </w:r>
    </w:p>
    <w:p>
      <w:pPr>
        <w:spacing w:after="0" w:line="113" w:lineRule="exact"/>
        <w:rPr>
          <w:sz w:val="20"/>
          <w:szCs w:val="20"/>
          <w:color w:val="auto"/>
        </w:rPr>
      </w:pPr>
    </w:p>
    <w:p>
      <w:pPr>
        <w:ind w:left="640" w:right="60"/>
        <w:spacing w:after="0" w:line="242" w:lineRule="auto"/>
        <w:rPr>
          <w:sz w:val="20"/>
          <w:szCs w:val="20"/>
          <w:color w:val="auto"/>
        </w:rPr>
      </w:pPr>
      <w:r>
        <w:rPr>
          <w:rFonts w:ascii="Arial" w:cs="Arial" w:eastAsia="Arial" w:hAnsi="Arial"/>
          <w:sz w:val="18"/>
          <w:szCs w:val="18"/>
          <w:color w:val="202124"/>
        </w:rPr>
        <w:t>For FY22 and fiscal year 2023 (“FY23”), NEO CAP is significantly higher, as it was tied to the substantial increase in the Company’s stock price reflected in the TSR calculation for the year, along with the increase in Net Income and Economic Profit for the year. FY24 saw an increase in the Company’s stock price offset by the transition in CEO given the different compensation packages. FY25 saw an additional increase in the Company’s stock price with a full year grant for the CEO increasing the CAP value. FY26 saw a decrease in Company’s stock price decreasing the CAP value. See “Compensation Discussion and Analysis” above for additional information regarding our FY26 NEO compensation.</w:t>
      </w:r>
    </w:p>
    <w:p>
      <w:pPr>
        <w:spacing w:after="0" w:line="138" w:lineRule="exact"/>
        <w:rPr>
          <w:sz w:val="20"/>
          <w:szCs w:val="20"/>
          <w:color w:val="auto"/>
        </w:rPr>
      </w:pPr>
    </w:p>
    <w:p>
      <w:pPr>
        <w:ind w:left="640" w:right="40"/>
        <w:spacing w:after="0" w:line="253" w:lineRule="auto"/>
        <w:rPr>
          <w:sz w:val="20"/>
          <w:szCs w:val="20"/>
          <w:color w:val="auto"/>
        </w:rPr>
      </w:pPr>
      <w:r>
        <w:rPr>
          <w:rFonts w:ascii="Arial" w:cs="Arial" w:eastAsia="Arial" w:hAnsi="Arial"/>
          <w:sz w:val="18"/>
          <w:szCs w:val="18"/>
          <w:color w:val="202124"/>
        </w:rPr>
        <w:t>Below, in an unranked order, are the most important financial performance measures used to link executive compensation actually paid to the Company’s NEOs to the Company's performance for FY26, as further described in our CD&amp;A within the sections titled “Annual Incentive Plan” and “Long-term Incentive Plan.”</w:t>
      </w:r>
    </w:p>
    <w:p>
      <w:pPr>
        <w:spacing w:after="0" w:line="142" w:lineRule="exact"/>
        <w:rPr>
          <w:sz w:val="20"/>
          <w:szCs w:val="20"/>
          <w:color w:val="auto"/>
        </w:rPr>
      </w:pPr>
    </w:p>
    <w:p>
      <w:pPr>
        <w:ind w:left="640" w:right="100"/>
        <w:spacing w:after="0" w:line="271" w:lineRule="auto"/>
        <w:rPr>
          <w:sz w:val="20"/>
          <w:szCs w:val="20"/>
          <w:color w:val="auto"/>
        </w:rPr>
      </w:pPr>
      <w:r>
        <w:rPr>
          <w:rFonts w:ascii="Arial" w:cs="Arial" w:eastAsia="Arial" w:hAnsi="Arial"/>
          <w:sz w:val="18"/>
          <w:szCs w:val="18"/>
          <w:color w:val="202124"/>
        </w:rPr>
        <w:t>Most Important Financial Performance Measures: Economic Profit; Return on Invested Capital; Adjusted Earnings Before Interest and Taxes;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73</w:t>
            </w:r>
          </w:p>
        </w:tc>
      </w:tr>
    </w:tbl>
    <w:p>
      <w:pPr>
        <w:sectPr>
          <w:pgSz w:w="11900" w:h="16838" w:orient="portrait"/>
          <w:cols w:equalWidth="0" w:num="1">
            <w:col w:w="10360"/>
          </w:cols>
          <w:pgMar w:left="440" w:top="106" w:right="1099" w:bottom="1440" w:gutter="0" w:footer="0" w:header="0"/>
        </w:sectPr>
      </w:pPr>
    </w:p>
    <w:bookmarkStart w:id="76" w:name="page77"/>
    <w:bookmarkEnd w:id="7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47"/>
          <w:szCs w:val="47"/>
          <w:b w:val="1"/>
          <w:bCs w:val="1"/>
          <w:color w:val="202124"/>
        </w:rPr>
        <w:t>SHARE OWNERSHIP INFORMATION</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Beneficial Ownership Tables</w:t>
      </w:r>
    </w:p>
    <w:p>
      <w:pPr>
        <w:spacing w:after="0" w:line="124" w:lineRule="exact"/>
        <w:rPr>
          <w:sz w:val="20"/>
          <w:szCs w:val="20"/>
          <w:color w:val="auto"/>
        </w:rPr>
      </w:pPr>
    </w:p>
    <w:p>
      <w:pPr>
        <w:ind w:left="640" w:right="180"/>
        <w:spacing w:after="0"/>
        <w:rPr>
          <w:sz w:val="20"/>
          <w:szCs w:val="20"/>
          <w:color w:val="auto"/>
        </w:rPr>
      </w:pPr>
      <w:r>
        <w:rPr>
          <w:rFonts w:ascii="Arial" w:cs="Arial" w:eastAsia="Arial" w:hAnsi="Arial"/>
          <w:sz w:val="18"/>
          <w:szCs w:val="18"/>
          <w:color w:val="202124"/>
        </w:rPr>
        <w:t>As of October 19, 2026, we had 16,094,341 shares of common stock outstanding. The tables below set forth certain information regarding the beneficial ownership of our common stock, as determined in accordance with SEC rules, as of October 19, 2026. Under these rules, beneficial ownership includes any shares as to which such individual or group has sole or shared voting power or investment power and includes any shares of common stock which such individual or group has the right to acquire beneficial ownership within 60 days of the specified date. Such additional shares that may be acquired are only deemed to be outstanding when calculating the percentage ownership of such individual or group, but are not included when computing the percentage ownership of any other individual or group below.</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SHARE OWNERSHIP OF DIRECTORS AND EXECUTIVE OFFICERS</w:t>
      </w:r>
    </w:p>
    <w:p>
      <w:pPr>
        <w:spacing w:after="0" w:line="104" w:lineRule="exact"/>
        <w:rPr>
          <w:sz w:val="20"/>
          <w:szCs w:val="20"/>
          <w:color w:val="auto"/>
        </w:rPr>
      </w:pPr>
    </w:p>
    <w:p>
      <w:pPr>
        <w:ind w:left="640" w:right="40"/>
        <w:spacing w:after="0" w:line="253" w:lineRule="auto"/>
        <w:rPr>
          <w:sz w:val="20"/>
          <w:szCs w:val="20"/>
          <w:color w:val="auto"/>
        </w:rPr>
      </w:pPr>
      <w:r>
        <w:rPr>
          <w:rFonts w:ascii="Arial" w:cs="Arial" w:eastAsia="Arial" w:hAnsi="Arial"/>
          <w:sz w:val="18"/>
          <w:szCs w:val="18"/>
          <w:color w:val="202124"/>
        </w:rPr>
        <w:t>This table shows the beneficial ownership of common stock by each director, each named executive officer and all current directors and executive officers as a group. Unless stated otherwise in the notes to the table, each person named below has sole authority to vote and invest the shares shown.</w:t>
      </w:r>
    </w:p>
    <w:p>
      <w:pPr>
        <w:spacing w:after="0" w:line="107"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4440" w:type="dxa"/>
            <w:vAlign w:val="bottom"/>
            <w:shd w:val="clear" w:color="auto" w:fill="212322"/>
          </w:tcPr>
          <w:p>
            <w:pPr>
              <w:spacing w:after="0"/>
              <w:rPr>
                <w:sz w:val="14"/>
                <w:szCs w:val="14"/>
                <w:color w:val="auto"/>
              </w:rPr>
            </w:pPr>
          </w:p>
        </w:tc>
        <w:tc>
          <w:tcPr>
            <w:tcW w:w="20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212322"/>
          </w:tcPr>
          <w:p>
            <w:pPr>
              <w:spacing w:after="0"/>
              <w:rPr>
                <w:sz w:val="14"/>
                <w:szCs w:val="14"/>
                <w:color w:val="auto"/>
              </w:rPr>
            </w:pPr>
          </w:p>
        </w:tc>
        <w:tc>
          <w:tcPr>
            <w:tcW w:w="7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​​​Deferred</w:t>
            </w:r>
          </w:p>
        </w:tc>
        <w:tc>
          <w:tcPr>
            <w:tcW w:w="900" w:type="dxa"/>
            <w:vAlign w:val="bottom"/>
            <w:shd w:val="clear" w:color="auto" w:fill="212322"/>
          </w:tcPr>
          <w:p>
            <w:pPr>
              <w:jc w:val="right"/>
              <w:ind w:right="653"/>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​​Restricted​</w:t>
            </w:r>
          </w:p>
        </w:tc>
        <w:tc>
          <w:tcPr>
            <w:tcW w:w="880" w:type="dxa"/>
            <w:vAlign w:val="bottom"/>
            <w:shd w:val="clear" w:color="auto" w:fill="212322"/>
          </w:tcPr>
          <w:p>
            <w:pPr>
              <w:jc w:val="right"/>
              <w:ind w:right="633"/>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212322"/>
          </w:tcPr>
          <w:p>
            <w:pPr>
              <w:ind w:left="60"/>
              <w:spacing w:after="0"/>
              <w:rPr>
                <w:sz w:val="20"/>
                <w:szCs w:val="20"/>
                <w:color w:val="auto"/>
              </w:rPr>
            </w:pPr>
            <w:r>
              <w:rPr>
                <w:rFonts w:ascii="Arial" w:cs="Arial" w:eastAsia="Arial" w:hAnsi="Arial"/>
                <w:sz w:val="14"/>
                <w:szCs w:val="14"/>
                <w:b w:val="1"/>
                <w:bCs w:val="1"/>
                <w:color w:val="FFFFFF"/>
              </w:rPr>
              <w:t>​​​</w:t>
            </w:r>
          </w:p>
        </w:tc>
      </w:tr>
      <w:tr>
        <w:trPr>
          <w:trHeight w:val="162"/>
        </w:trPr>
        <w:tc>
          <w:tcPr>
            <w:tcW w:w="4440" w:type="dxa"/>
            <w:vAlign w:val="bottom"/>
            <w:shd w:val="clear" w:color="auto" w:fill="212322"/>
          </w:tcPr>
          <w:p>
            <w:pPr>
              <w:spacing w:after="0"/>
              <w:rPr>
                <w:sz w:val="14"/>
                <w:szCs w:val="14"/>
                <w:color w:val="auto"/>
              </w:rPr>
            </w:pPr>
          </w:p>
        </w:tc>
        <w:tc>
          <w:tcPr>
            <w:tcW w:w="200" w:type="dxa"/>
            <w:vAlign w:val="bottom"/>
            <w:shd w:val="clear" w:color="auto" w:fill="212322"/>
          </w:tcPr>
          <w:p>
            <w:pPr>
              <w:spacing w:after="0"/>
              <w:rPr>
                <w:sz w:val="14"/>
                <w:szCs w:val="14"/>
                <w:color w:val="auto"/>
              </w:rPr>
            </w:pPr>
          </w:p>
        </w:tc>
        <w:tc>
          <w:tcPr>
            <w:tcW w:w="640" w:type="dxa"/>
            <w:vAlign w:val="bottom"/>
            <w:shd w:val="clear" w:color="auto" w:fill="212322"/>
          </w:tcPr>
          <w:p>
            <w:pPr>
              <w:spacing w:after="0"/>
              <w:rPr>
                <w:sz w:val="14"/>
                <w:szCs w:val="14"/>
                <w:color w:val="auto"/>
              </w:rPr>
            </w:pPr>
          </w:p>
        </w:tc>
        <w:tc>
          <w:tcPr>
            <w:tcW w:w="780" w:type="dxa"/>
            <w:vAlign w:val="bottom"/>
            <w:shd w:val="clear" w:color="auto" w:fill="212322"/>
          </w:tcPr>
          <w:p>
            <w:pPr>
              <w:jc w:val="right"/>
              <w:ind w:right="53"/>
              <w:spacing w:after="0"/>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212322"/>
          </w:tcPr>
          <w:p>
            <w:pPr>
              <w:jc w:val="right"/>
              <w:ind w:right="93"/>
              <w:spacing w:after="0"/>
              <w:rPr>
                <w:sz w:val="20"/>
                <w:szCs w:val="20"/>
                <w:color w:val="auto"/>
              </w:rPr>
            </w:pPr>
            <w:r>
              <w:rPr>
                <w:rFonts w:ascii="Arial" w:cs="Arial" w:eastAsia="Arial" w:hAnsi="Arial"/>
                <w:sz w:val="14"/>
                <w:szCs w:val="14"/>
                <w:b w:val="1"/>
                <w:bCs w:val="1"/>
                <w:color w:val="FFFFFF"/>
              </w:rPr>
              <w:t>Option</w:t>
            </w:r>
          </w:p>
        </w:tc>
        <w:tc>
          <w:tcPr>
            <w:tcW w:w="860" w:type="dxa"/>
            <w:vAlign w:val="bottom"/>
            <w:shd w:val="clear" w:color="auto" w:fill="212322"/>
          </w:tcPr>
          <w:p>
            <w:pPr>
              <w:jc w:val="right"/>
              <w:ind w:right="113"/>
              <w:spacing w:after="0"/>
              <w:rPr>
                <w:sz w:val="20"/>
                <w:szCs w:val="20"/>
                <w:color w:val="auto"/>
              </w:rPr>
            </w:pPr>
            <w:r>
              <w:rPr>
                <w:rFonts w:ascii="Arial" w:cs="Arial" w:eastAsia="Arial" w:hAnsi="Arial"/>
                <w:sz w:val="14"/>
                <w:szCs w:val="14"/>
                <w:b w:val="1"/>
                <w:bCs w:val="1"/>
                <w:color w:val="FFFFFF"/>
              </w:rPr>
              <w:t>Stock</w:t>
            </w:r>
          </w:p>
        </w:tc>
        <w:tc>
          <w:tcPr>
            <w:tcW w:w="880" w:type="dxa"/>
            <w:vAlign w:val="bottom"/>
            <w:shd w:val="clear" w:color="auto" w:fill="212322"/>
          </w:tcPr>
          <w:p>
            <w:pPr>
              <w:jc w:val="right"/>
              <w:ind w:right="133"/>
              <w:spacing w:after="0"/>
              <w:rPr>
                <w:sz w:val="20"/>
                <w:szCs w:val="20"/>
                <w:color w:val="auto"/>
              </w:rPr>
            </w:pPr>
            <w:r>
              <w:rPr>
                <w:rFonts w:ascii="Arial" w:cs="Arial" w:eastAsia="Arial" w:hAnsi="Arial"/>
                <w:sz w:val="14"/>
                <w:szCs w:val="14"/>
                <w:b w:val="1"/>
                <w:bCs w:val="1"/>
                <w:color w:val="FFFFFF"/>
              </w:rPr>
              <w:t>Total</w:t>
            </w:r>
          </w:p>
        </w:tc>
        <w:tc>
          <w:tcPr>
            <w:tcW w:w="900" w:type="dxa"/>
            <w:vAlign w:val="bottom"/>
            <w:shd w:val="clear" w:color="auto" w:fill="212322"/>
          </w:tcPr>
          <w:p>
            <w:pPr>
              <w:ind w:left="140"/>
              <w:spacing w:after="0"/>
              <w:rPr>
                <w:sz w:val="20"/>
                <w:szCs w:val="20"/>
                <w:color w:val="auto"/>
              </w:rPr>
            </w:pPr>
            <w:r>
              <w:rPr>
                <w:rFonts w:ascii="Arial" w:cs="Arial" w:eastAsia="Arial" w:hAnsi="Arial"/>
                <w:sz w:val="14"/>
                <w:szCs w:val="14"/>
                <w:b w:val="1"/>
                <w:bCs w:val="1"/>
                <w:color w:val="FFFFFF"/>
              </w:rPr>
              <w:t>Ownership</w:t>
            </w:r>
          </w:p>
        </w:tc>
      </w:tr>
      <w:tr>
        <w:trPr>
          <w:trHeight w:val="189"/>
        </w:trPr>
        <w:tc>
          <w:tcPr>
            <w:tcW w:w="444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Name of Beneficial Owner</w:t>
            </w:r>
          </w:p>
        </w:tc>
        <w:tc>
          <w:tcPr>
            <w:tcW w:w="200" w:type="dxa"/>
            <w:vAlign w:val="bottom"/>
            <w:shd w:val="clear" w:color="auto" w:fill="212322"/>
          </w:tcPr>
          <w:p>
            <w:pPr>
              <w:spacing w:after="0"/>
              <w:rPr>
                <w:sz w:val="16"/>
                <w:szCs w:val="16"/>
                <w:color w:val="auto"/>
              </w:rPr>
            </w:pPr>
          </w:p>
        </w:tc>
        <w:tc>
          <w:tcPr>
            <w:tcW w:w="640" w:type="dxa"/>
            <w:vAlign w:val="bottom"/>
            <w:shd w:val="clear" w:color="auto" w:fill="212322"/>
          </w:tcPr>
          <w:p>
            <w:pPr>
              <w:jc w:val="right"/>
              <w:ind w:right="11"/>
              <w:spacing w:after="0"/>
              <w:rPr>
                <w:sz w:val="20"/>
                <w:szCs w:val="20"/>
                <w:color w:val="auto"/>
              </w:rPr>
            </w:pPr>
            <w:r>
              <w:rPr>
                <w:rFonts w:ascii="Arial" w:cs="Arial" w:eastAsia="Arial" w:hAnsi="Arial"/>
                <w:sz w:val="14"/>
                <w:szCs w:val="14"/>
                <w:b w:val="1"/>
                <w:bCs w:val="1"/>
                <w:color w:val="FFFFFF"/>
              </w:rPr>
              <w:t>Shares</w:t>
            </w:r>
          </w:p>
        </w:tc>
        <w:tc>
          <w:tcPr>
            <w:tcW w:w="7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Units (1)</w:t>
            </w:r>
          </w:p>
        </w:tc>
        <w:tc>
          <w:tcPr>
            <w:tcW w:w="90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Awards (2)</w:t>
            </w:r>
          </w:p>
        </w:tc>
        <w:tc>
          <w:tcPr>
            <w:tcW w:w="860" w:type="dxa"/>
            <w:vAlign w:val="bottom"/>
            <w:shd w:val="clear" w:color="auto" w:fill="212322"/>
          </w:tcPr>
          <w:p>
            <w:pPr>
              <w:jc w:val="right"/>
              <w:ind w:right="13"/>
              <w:spacing w:after="0"/>
              <w:rPr>
                <w:sz w:val="20"/>
                <w:szCs w:val="20"/>
                <w:color w:val="auto"/>
              </w:rPr>
            </w:pPr>
            <w:r>
              <w:rPr>
                <w:rFonts w:ascii="Arial" w:cs="Arial" w:eastAsia="Arial" w:hAnsi="Arial"/>
                <w:sz w:val="14"/>
                <w:szCs w:val="14"/>
                <w:b w:val="1"/>
                <w:bCs w:val="1"/>
                <w:color w:val="FFFFFF"/>
              </w:rPr>
              <w:t>Units (3)</w:t>
            </w:r>
          </w:p>
        </w:tc>
        <w:tc>
          <w:tcPr>
            <w:tcW w:w="880" w:type="dxa"/>
            <w:vAlign w:val="bottom"/>
            <w:shd w:val="clear" w:color="auto" w:fill="212322"/>
          </w:tcPr>
          <w:p>
            <w:pPr>
              <w:jc w:val="right"/>
              <w:ind w:right="213"/>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212322"/>
          </w:tcPr>
          <w:p>
            <w:pPr>
              <w:ind w:left="140"/>
              <w:spacing w:after="0"/>
              <w:rPr>
                <w:sz w:val="20"/>
                <w:szCs w:val="20"/>
                <w:color w:val="auto"/>
              </w:rPr>
            </w:pPr>
            <w:r>
              <w:rPr>
                <w:rFonts w:ascii="Arial" w:cs="Arial" w:eastAsia="Arial" w:hAnsi="Arial"/>
                <w:sz w:val="14"/>
                <w:szCs w:val="14"/>
                <w:b w:val="1"/>
                <w:bCs w:val="1"/>
                <w:color w:val="FFFFFF"/>
                <w:w w:val="97"/>
              </w:rPr>
              <w:t>Percentage</w:t>
            </w:r>
          </w:p>
        </w:tc>
      </w:tr>
      <w:tr>
        <w:trPr>
          <w:trHeight w:val="243"/>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Michael A. George</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145</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508</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653</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Linda A. Goodspeed</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2,987</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2,987</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Earl G. Graves, Jr.</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18</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3,417</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4,818</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8,253</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Brian P. Hannasch</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909</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310</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1,220</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6"/>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Gale V. King</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1,336</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1,336</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Claire R. McDonough</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143</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143</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George R. Mrkonic, Jr.</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1,405</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3,228</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4,633</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6"/>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William C. Rhodes, III (4)</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w w:val="98"/>
              </w:rPr>
              <w:t>12,385</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71,300</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156</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83,841</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Jill A. Soltau</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1,254</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1,254</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Constantino Spas</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45</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87</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132</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6"/>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Philip B. Daniele, III (5)</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2,281</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37,301</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39,582</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Jamere Jackson</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496</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25,005</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25,501</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6"/>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Thomas B. Newbern</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3,193</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33,613</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36,806</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7"/>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Eric S. Gould</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908</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19,806</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20,714</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236"/>
        </w:trPr>
        <w:tc>
          <w:tcPr>
            <w:tcW w:w="4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202124"/>
              </w:rPr>
              <w:t>Kenneth E. Jaycox, Jr.</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16</w:t>
            </w:r>
          </w:p>
        </w:tc>
        <w:tc>
          <w:tcPr>
            <w:tcW w:w="78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90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4,481</w:t>
            </w:r>
          </w:p>
        </w:tc>
        <w:tc>
          <w:tcPr>
            <w:tcW w:w="860" w:type="dxa"/>
            <w:vAlign w:val="bottom"/>
            <w:tcBorders>
              <w:bottom w:val="single" w:sz="8" w:color="808080"/>
            </w:tcBorders>
          </w:tcPr>
          <w:p>
            <w:pPr>
              <w:jc w:val="right"/>
              <w:ind w:right="13"/>
              <w:spacing w:after="0"/>
              <w:rPr>
                <w:sz w:val="20"/>
                <w:szCs w:val="20"/>
                <w:color w:val="auto"/>
              </w:rPr>
            </w:pPr>
            <w:r>
              <w:rPr>
                <w:rFonts w:ascii="Arial" w:cs="Arial" w:eastAsia="Arial" w:hAnsi="Arial"/>
                <w:sz w:val="18"/>
                <w:szCs w:val="18"/>
                <w:color w:val="202124"/>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4,497</w:t>
            </w:r>
          </w:p>
        </w:tc>
        <w:tc>
          <w:tcPr>
            <w:tcW w:w="900" w:type="dxa"/>
            <w:vAlign w:val="bottom"/>
            <w:tcBorders>
              <w:bottom w:val="single" w:sz="8" w:color="808080"/>
            </w:tcBorders>
          </w:tcPr>
          <w:p>
            <w:pPr>
              <w:jc w:val="center"/>
              <w:ind w:left="53"/>
              <w:spacing w:after="0"/>
              <w:rPr>
                <w:sz w:val="20"/>
                <w:szCs w:val="20"/>
                <w:color w:val="auto"/>
              </w:rPr>
            </w:pPr>
            <w:r>
              <w:rPr>
                <w:rFonts w:ascii="Arial" w:cs="Arial" w:eastAsia="Arial" w:hAnsi="Arial"/>
                <w:sz w:val="18"/>
                <w:szCs w:val="18"/>
                <w:color w:val="202124"/>
              </w:rPr>
              <w:t>*</w:t>
            </w:r>
          </w:p>
        </w:tc>
      </w:tr>
      <w:tr>
        <w:trPr>
          <w:trHeight w:val="177"/>
        </w:trPr>
        <w:tc>
          <w:tcPr>
            <w:tcW w:w="4640" w:type="dxa"/>
            <w:vAlign w:val="bottom"/>
            <w:gridSpan w:val="2"/>
          </w:tcPr>
          <w:p>
            <w:pPr>
              <w:spacing w:after="0" w:line="177" w:lineRule="exact"/>
              <w:rPr>
                <w:sz w:val="20"/>
                <w:szCs w:val="20"/>
                <w:color w:val="auto"/>
              </w:rPr>
            </w:pPr>
            <w:r>
              <w:rPr>
                <w:rFonts w:ascii="Arial" w:cs="Arial" w:eastAsia="Arial" w:hAnsi="Arial"/>
                <w:sz w:val="18"/>
                <w:szCs w:val="18"/>
                <w:b w:val="1"/>
                <w:bCs w:val="1"/>
                <w:color w:val="202124"/>
              </w:rPr>
              <w:t>All current directors and executive officers as a</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202124"/>
              </w:rPr>
              <w:t>group (25) persons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202124"/>
                <w:w w:val="98"/>
              </w:rPr>
              <w:t>23,089</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202124"/>
              </w:rPr>
              <w:t>4,822</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202124"/>
              </w:rPr>
              <w:t>253,531</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202124"/>
              </w:rPr>
              <w:t>14,828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202124"/>
              </w:rPr>
              <w:t>296,271</w:t>
            </w:r>
          </w:p>
        </w:tc>
        <w:tc>
          <w:tcPr>
            <w:tcW w:w="900" w:type="dxa"/>
            <w:vAlign w:val="bottom"/>
            <w:tcBorders>
              <w:bottom w:val="single" w:sz="8" w:color="auto"/>
            </w:tcBorders>
          </w:tcPr>
          <w:p>
            <w:pPr>
              <w:jc w:val="center"/>
              <w:ind w:left="53"/>
              <w:spacing w:after="0"/>
              <w:rPr>
                <w:sz w:val="20"/>
                <w:szCs w:val="20"/>
                <w:color w:val="auto"/>
              </w:rPr>
            </w:pPr>
            <w:r>
              <w:rPr>
                <w:rFonts w:ascii="Arial" w:cs="Arial" w:eastAsia="Arial" w:hAnsi="Arial"/>
                <w:sz w:val="18"/>
                <w:szCs w:val="18"/>
                <w:b w:val="1"/>
                <w:bCs w:val="1"/>
                <w:color w:val="202124"/>
                <w:w w:val="97"/>
              </w:rPr>
              <w:t>1.8%</w:t>
            </w:r>
          </w:p>
        </w:tc>
      </w:tr>
    </w:tbl>
    <w:p>
      <w:pPr>
        <w:spacing w:after="0" w:line="107" w:lineRule="exact"/>
        <w:rPr>
          <w:sz w:val="20"/>
          <w:szCs w:val="20"/>
          <w:color w:val="auto"/>
        </w:rPr>
      </w:pPr>
    </w:p>
    <w:p>
      <w:pPr>
        <w:ind w:left="960" w:hanging="316"/>
        <w:spacing w:after="0"/>
        <w:tabs>
          <w:tab w:leader="none" w:pos="960" w:val="left"/>
        </w:tabs>
        <w:numPr>
          <w:ilvl w:val="0"/>
          <w:numId w:val="103"/>
        </w:numPr>
        <w:rPr>
          <w:rFonts w:ascii="Arial" w:cs="Arial" w:eastAsia="Arial" w:hAnsi="Arial"/>
          <w:sz w:val="16"/>
          <w:szCs w:val="16"/>
          <w:color w:val="202124"/>
        </w:rPr>
      </w:pPr>
      <w:r>
        <w:rPr>
          <w:rFonts w:ascii="Arial" w:cs="Arial" w:eastAsia="Arial" w:hAnsi="Arial"/>
          <w:sz w:val="16"/>
          <w:szCs w:val="16"/>
          <w:color w:val="202124"/>
        </w:rPr>
        <w:t>Less than 1%.</w:t>
      </w:r>
    </w:p>
    <w:p>
      <w:pPr>
        <w:spacing w:after="0" w:line="38" w:lineRule="exact"/>
        <w:rPr>
          <w:sz w:val="20"/>
          <w:szCs w:val="20"/>
          <w:color w:val="auto"/>
        </w:rPr>
      </w:pPr>
    </w:p>
    <w:p>
      <w:pPr>
        <w:ind w:left="960" w:hanging="316"/>
        <w:spacing w:after="0"/>
        <w:tabs>
          <w:tab w:leader="none" w:pos="960" w:val="left"/>
        </w:tabs>
        <w:numPr>
          <w:ilvl w:val="0"/>
          <w:numId w:val="104"/>
        </w:numPr>
        <w:rPr>
          <w:rFonts w:ascii="Arial" w:cs="Arial" w:eastAsia="Arial" w:hAnsi="Arial"/>
          <w:sz w:val="24"/>
          <w:szCs w:val="24"/>
          <w:color w:val="202124"/>
          <w:vertAlign w:val="superscript"/>
        </w:rPr>
      </w:pPr>
      <w:r>
        <w:rPr>
          <w:rFonts w:ascii="Arial" w:cs="Arial" w:eastAsia="Arial" w:hAnsi="Arial"/>
          <w:sz w:val="16"/>
          <w:szCs w:val="16"/>
          <w:color w:val="202124"/>
        </w:rPr>
        <w:t>Includes shares that may be acquired immediately upon termination as a director by conversion of Stock Units.</w:t>
      </w:r>
    </w:p>
    <w:p>
      <w:pPr>
        <w:spacing w:after="0" w:line="84" w:lineRule="exact"/>
        <w:rPr>
          <w:rFonts w:ascii="Arial" w:cs="Arial" w:eastAsia="Arial" w:hAnsi="Arial"/>
          <w:sz w:val="24"/>
          <w:szCs w:val="24"/>
          <w:color w:val="202124"/>
          <w:vertAlign w:val="superscript"/>
        </w:rPr>
      </w:pPr>
    </w:p>
    <w:p>
      <w:pPr>
        <w:ind w:left="960" w:right="300" w:hanging="316"/>
        <w:spacing w:after="0" w:line="202" w:lineRule="auto"/>
        <w:tabs>
          <w:tab w:leader="none" w:pos="960" w:val="left"/>
        </w:tabs>
        <w:numPr>
          <w:ilvl w:val="0"/>
          <w:numId w:val="104"/>
        </w:numPr>
        <w:rPr>
          <w:rFonts w:ascii="Arial" w:cs="Arial" w:eastAsia="Arial" w:hAnsi="Arial"/>
          <w:sz w:val="24"/>
          <w:szCs w:val="24"/>
          <w:color w:val="202124"/>
          <w:vertAlign w:val="superscript"/>
        </w:rPr>
      </w:pPr>
      <w:r>
        <w:rPr>
          <w:rFonts w:ascii="Arial" w:cs="Arial" w:eastAsia="Arial" w:hAnsi="Arial"/>
          <w:sz w:val="16"/>
          <w:szCs w:val="16"/>
          <w:color w:val="202124"/>
        </w:rPr>
        <w:t>Includes shares that may be acquired upon exercise of stock options either immediately or within sixty (60) days of October 19, 2026.</w:t>
      </w:r>
    </w:p>
    <w:p>
      <w:pPr>
        <w:spacing w:after="0" w:line="69" w:lineRule="exact"/>
        <w:rPr>
          <w:rFonts w:ascii="Arial" w:cs="Arial" w:eastAsia="Arial" w:hAnsi="Arial"/>
          <w:sz w:val="24"/>
          <w:szCs w:val="24"/>
          <w:color w:val="202124"/>
          <w:vertAlign w:val="superscript"/>
        </w:rPr>
      </w:pPr>
    </w:p>
    <w:p>
      <w:pPr>
        <w:ind w:left="960" w:right="660" w:hanging="316"/>
        <w:spacing w:after="0" w:line="210" w:lineRule="auto"/>
        <w:tabs>
          <w:tab w:leader="none" w:pos="960" w:val="left"/>
        </w:tabs>
        <w:numPr>
          <w:ilvl w:val="0"/>
          <w:numId w:val="104"/>
        </w:numPr>
        <w:rPr>
          <w:rFonts w:ascii="Arial" w:cs="Arial" w:eastAsia="Arial" w:hAnsi="Arial"/>
          <w:sz w:val="24"/>
          <w:szCs w:val="24"/>
          <w:color w:val="202124"/>
          <w:vertAlign w:val="superscript"/>
        </w:rPr>
      </w:pPr>
      <w:r>
        <w:rPr>
          <w:rFonts w:ascii="Arial" w:cs="Arial" w:eastAsia="Arial" w:hAnsi="Arial"/>
          <w:sz w:val="16"/>
          <w:szCs w:val="16"/>
          <w:color w:val="202124"/>
        </w:rPr>
        <w:t>Includes fully-vested Restricted Stock Units that may be settled within sixty (60) days, one or five years after grant date or, termination of service as a director.</w:t>
      </w:r>
    </w:p>
    <w:p>
      <w:pPr>
        <w:spacing w:after="0" w:line="56" w:lineRule="exact"/>
        <w:rPr>
          <w:rFonts w:ascii="Arial" w:cs="Arial" w:eastAsia="Arial" w:hAnsi="Arial"/>
          <w:sz w:val="24"/>
          <w:szCs w:val="24"/>
          <w:color w:val="202124"/>
          <w:vertAlign w:val="superscript"/>
        </w:rPr>
      </w:pPr>
    </w:p>
    <w:p>
      <w:pPr>
        <w:ind w:left="960" w:right="180" w:hanging="316"/>
        <w:spacing w:after="0" w:line="205" w:lineRule="auto"/>
        <w:tabs>
          <w:tab w:leader="none" w:pos="960" w:val="left"/>
        </w:tabs>
        <w:numPr>
          <w:ilvl w:val="0"/>
          <w:numId w:val="104"/>
        </w:numPr>
        <w:rPr>
          <w:rFonts w:ascii="Arial" w:cs="Arial" w:eastAsia="Arial" w:hAnsi="Arial"/>
          <w:sz w:val="24"/>
          <w:szCs w:val="24"/>
          <w:color w:val="202124"/>
          <w:vertAlign w:val="superscript"/>
        </w:rPr>
      </w:pPr>
      <w:r>
        <w:rPr>
          <w:rFonts w:ascii="Arial" w:cs="Arial" w:eastAsia="Arial" w:hAnsi="Arial"/>
          <w:sz w:val="16"/>
          <w:szCs w:val="16"/>
          <w:color w:val="202124"/>
        </w:rPr>
        <w:t>Includes 176 shares held as trustee of a trust for Mr. Rhodes’ son, 177 shares held as trustee of a trust for Mr. Rhodes’ daughter, 476 shares held as trustee of trusts for Mr. Rhodes’ nieces and nephews, 50 shares held as co-trustee of a trust for one of</w:t>
      </w:r>
    </w:p>
    <w:p>
      <w:pPr>
        <w:spacing w:after="0" w:line="1" w:lineRule="exact"/>
        <w:rPr>
          <w:rFonts w:ascii="Arial" w:cs="Arial" w:eastAsia="Arial" w:hAnsi="Arial"/>
          <w:sz w:val="24"/>
          <w:szCs w:val="24"/>
          <w:color w:val="202124"/>
          <w:vertAlign w:val="superscript"/>
        </w:rPr>
      </w:pPr>
    </w:p>
    <w:p>
      <w:pPr>
        <w:ind w:left="960" w:right="280"/>
        <w:spacing w:after="0" w:line="256" w:lineRule="auto"/>
        <w:rPr>
          <w:rFonts w:ascii="Arial" w:cs="Arial" w:eastAsia="Arial" w:hAnsi="Arial"/>
          <w:sz w:val="24"/>
          <w:szCs w:val="24"/>
          <w:color w:val="202124"/>
          <w:vertAlign w:val="superscript"/>
        </w:rPr>
      </w:pPr>
      <w:r>
        <w:rPr>
          <w:rFonts w:ascii="Arial" w:cs="Arial" w:eastAsia="Arial" w:hAnsi="Arial"/>
          <w:sz w:val="16"/>
          <w:szCs w:val="16"/>
          <w:color w:val="202124"/>
        </w:rPr>
        <w:t>Mr. Rhodes’ siblings and 1,936 shares owned by a trust for Mr. Rhodes’ family in which his wife is trustee. Also includes 4,436 shares held by a charitable foundation for which Mr. Rhodes is president and a director and for which he shares investment and voting power.</w:t>
      </w:r>
    </w:p>
    <w:p>
      <w:pPr>
        <w:spacing w:after="0" w:line="56" w:lineRule="exact"/>
        <w:rPr>
          <w:rFonts w:ascii="Arial" w:cs="Arial" w:eastAsia="Arial" w:hAnsi="Arial"/>
          <w:sz w:val="24"/>
          <w:szCs w:val="24"/>
          <w:color w:val="202124"/>
          <w:vertAlign w:val="superscript"/>
        </w:rPr>
      </w:pPr>
    </w:p>
    <w:p>
      <w:pPr>
        <w:ind w:left="960" w:right="940" w:hanging="316"/>
        <w:spacing w:after="0" w:line="210" w:lineRule="auto"/>
        <w:tabs>
          <w:tab w:leader="none" w:pos="960" w:val="left"/>
        </w:tabs>
        <w:numPr>
          <w:ilvl w:val="0"/>
          <w:numId w:val="104"/>
        </w:numPr>
        <w:rPr>
          <w:rFonts w:ascii="Arial" w:cs="Arial" w:eastAsia="Arial" w:hAnsi="Arial"/>
          <w:sz w:val="24"/>
          <w:szCs w:val="24"/>
          <w:color w:val="202124"/>
          <w:vertAlign w:val="superscript"/>
        </w:rPr>
      </w:pPr>
      <w:r>
        <w:rPr>
          <w:rFonts w:ascii="Arial" w:cs="Arial" w:eastAsia="Arial" w:hAnsi="Arial"/>
          <w:sz w:val="16"/>
          <w:szCs w:val="16"/>
          <w:color w:val="202124"/>
        </w:rPr>
        <w:t>Includes 1,948 shares held in a trust wherein Mr. Daniele is trustee, and members of his immediate family are the sole beneficiaries of the trust. Mr. Daniele remains the beneficial owner of the securities held by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74   </w:t>
      </w:r>
      <w:r>
        <w:rPr>
          <w:sz w:val="1"/>
          <w:szCs w:val="1"/>
          <w:color w:val="auto"/>
        </w:rPr>
        <w:drawing>
          <wp:inline distT="0" distB="0" distL="0" distR="0">
            <wp:extent cx="1165860" cy="1371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77" w:name="page78"/>
    <w:bookmarkEnd w:id="7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SHARE OWNERSHIP OF CERTAIN BENEFICIAL OWNERS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The following entities are known by us to own more than five percent of our outstanding common stock:</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706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Name and Address</w:t>
            </w:r>
          </w:p>
        </w:tc>
        <w:tc>
          <w:tcPr>
            <w:tcW w:w="1260" w:type="dxa"/>
            <w:vAlign w:val="bottom"/>
            <w:shd w:val="clear" w:color="auto" w:fill="212322"/>
          </w:tcPr>
          <w:p>
            <w:pPr>
              <w:ind w:left="80"/>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212322"/>
          </w:tcPr>
          <w:p>
            <w:pPr>
              <w:ind w:left="100"/>
              <w:spacing w:after="0"/>
              <w:rPr>
                <w:sz w:val="20"/>
                <w:szCs w:val="20"/>
                <w:color w:val="auto"/>
              </w:rPr>
            </w:pPr>
            <w:r>
              <w:rPr>
                <w:rFonts w:ascii="Arial" w:cs="Arial" w:eastAsia="Arial" w:hAnsi="Arial"/>
                <w:sz w:val="14"/>
                <w:szCs w:val="14"/>
                <w:b w:val="1"/>
                <w:bCs w:val="1"/>
                <w:color w:val="FFFFFF"/>
              </w:rPr>
              <w:t>​​​   Ownership</w:t>
            </w:r>
          </w:p>
        </w:tc>
      </w:tr>
      <w:tr>
        <w:trPr>
          <w:trHeight w:val="189"/>
        </w:trPr>
        <w:tc>
          <w:tcPr>
            <w:tcW w:w="706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of Beneficial Owner</w:t>
            </w:r>
          </w:p>
        </w:tc>
        <w:tc>
          <w:tcPr>
            <w:tcW w:w="1260" w:type="dxa"/>
            <w:vAlign w:val="bottom"/>
            <w:shd w:val="clear" w:color="auto" w:fill="212322"/>
          </w:tcPr>
          <w:p>
            <w:pPr>
              <w:jc w:val="center"/>
              <w:ind w:left="177"/>
              <w:spacing w:after="0"/>
              <w:rPr>
                <w:sz w:val="20"/>
                <w:szCs w:val="20"/>
                <w:color w:val="auto"/>
              </w:rPr>
            </w:pPr>
            <w:r>
              <w:rPr>
                <w:rFonts w:ascii="Arial" w:cs="Arial" w:eastAsia="Arial" w:hAnsi="Arial"/>
                <w:sz w:val="14"/>
                <w:szCs w:val="14"/>
                <w:b w:val="1"/>
                <w:bCs w:val="1"/>
                <w:color w:val="FFFFFF"/>
              </w:rPr>
              <w:t>Shares</w:t>
            </w:r>
          </w:p>
        </w:tc>
        <w:tc>
          <w:tcPr>
            <w:tcW w:w="1400" w:type="dxa"/>
            <w:vAlign w:val="bottom"/>
            <w:shd w:val="clear" w:color="auto" w:fill="212322"/>
          </w:tcPr>
          <w:p>
            <w:pPr>
              <w:jc w:val="center"/>
              <w:ind w:left="157"/>
              <w:spacing w:after="0" w:line="189" w:lineRule="exact"/>
              <w:rPr>
                <w:sz w:val="20"/>
                <w:szCs w:val="20"/>
                <w:color w:val="auto"/>
              </w:rPr>
            </w:pPr>
            <w:r>
              <w:rPr>
                <w:rFonts w:ascii="Arial" w:cs="Arial" w:eastAsia="Arial" w:hAnsi="Arial"/>
                <w:sz w:val="14"/>
                <w:szCs w:val="14"/>
                <w:b w:val="1"/>
                <w:bCs w:val="1"/>
                <w:color w:val="FFFFFF"/>
                <w:w w:val="99"/>
              </w:rPr>
              <w:t xml:space="preserve">Percentage </w:t>
            </w:r>
            <w:r>
              <w:rPr>
                <w:rFonts w:ascii="Arial" w:cs="Arial" w:eastAsia="Arial" w:hAnsi="Arial"/>
                <w:sz w:val="21"/>
                <w:szCs w:val="21"/>
                <w:b w:val="1"/>
                <w:bCs w:val="1"/>
                <w:color w:val="FFFFFF"/>
                <w:w w:val="99"/>
                <w:vertAlign w:val="superscript"/>
              </w:rPr>
              <w:t>(1)</w:t>
            </w:r>
          </w:p>
        </w:tc>
      </w:tr>
      <w:tr>
        <w:trPr>
          <w:trHeight w:val="265"/>
        </w:trPr>
        <w:tc>
          <w:tcPr>
            <w:tcW w:w="7060" w:type="dxa"/>
            <w:vAlign w:val="bottom"/>
          </w:tcPr>
          <w:p>
            <w:pPr>
              <w:spacing w:after="0" w:line="265" w:lineRule="exact"/>
              <w:rPr>
                <w:sz w:val="20"/>
                <w:szCs w:val="20"/>
                <w:color w:val="auto"/>
              </w:rPr>
            </w:pPr>
            <w:r>
              <w:rPr>
                <w:rFonts w:ascii="Arial" w:cs="Arial" w:eastAsia="Arial" w:hAnsi="Arial"/>
                <w:sz w:val="18"/>
                <w:szCs w:val="18"/>
                <w:color w:val="202124"/>
              </w:rPr>
              <w:t xml:space="preserve">BlackRock, Inc. </w:t>
            </w:r>
            <w:r>
              <w:rPr>
                <w:rFonts w:ascii="Arial" w:cs="Arial" w:eastAsia="Arial" w:hAnsi="Arial"/>
                <w:sz w:val="26"/>
                <w:szCs w:val="26"/>
                <w:color w:val="202124"/>
                <w:vertAlign w:val="superscript"/>
              </w:rPr>
              <w:t>(2)</w:t>
            </w:r>
          </w:p>
        </w:tc>
        <w:tc>
          <w:tcPr>
            <w:tcW w:w="1260" w:type="dxa"/>
            <w:vAlign w:val="bottom"/>
          </w:tcPr>
          <w:p>
            <w:pPr>
              <w:jc w:val="center"/>
              <w:ind w:left="217"/>
              <w:spacing w:after="0"/>
              <w:rPr>
                <w:sz w:val="20"/>
                <w:szCs w:val="20"/>
                <w:color w:val="auto"/>
              </w:rPr>
            </w:pPr>
            <w:r>
              <w:rPr>
                <w:rFonts w:ascii="Arial" w:cs="Arial" w:eastAsia="Arial" w:hAnsi="Arial"/>
                <w:sz w:val="18"/>
                <w:szCs w:val="18"/>
                <w:color w:val="202124"/>
                <w:w w:val="99"/>
              </w:rPr>
              <w:t>1,273,656</w:t>
            </w:r>
          </w:p>
        </w:tc>
        <w:tc>
          <w:tcPr>
            <w:tcW w:w="1400" w:type="dxa"/>
            <w:vAlign w:val="bottom"/>
          </w:tcPr>
          <w:p>
            <w:pPr>
              <w:jc w:val="center"/>
              <w:ind w:left="157"/>
              <w:spacing w:after="0"/>
              <w:rPr>
                <w:sz w:val="20"/>
                <w:szCs w:val="20"/>
                <w:color w:val="auto"/>
              </w:rPr>
            </w:pPr>
            <w:r>
              <w:rPr>
                <w:rFonts w:ascii="Arial" w:cs="Arial" w:eastAsia="Arial" w:hAnsi="Arial"/>
                <w:sz w:val="18"/>
                <w:szCs w:val="18"/>
                <w:color w:val="202124"/>
              </w:rPr>
              <w:t>7.91%</w:t>
            </w:r>
          </w:p>
        </w:tc>
      </w:tr>
      <w:tr>
        <w:trPr>
          <w:trHeight w:val="239"/>
        </w:trPr>
        <w:tc>
          <w:tcPr>
            <w:tcW w:w="7060" w:type="dxa"/>
            <w:vAlign w:val="bottom"/>
          </w:tcPr>
          <w:p>
            <w:pPr>
              <w:ind w:left="220"/>
              <w:spacing w:after="0"/>
              <w:rPr>
                <w:sz w:val="20"/>
                <w:szCs w:val="20"/>
                <w:color w:val="auto"/>
              </w:rPr>
            </w:pPr>
            <w:r>
              <w:rPr>
                <w:rFonts w:ascii="Arial" w:cs="Arial" w:eastAsia="Arial" w:hAnsi="Arial"/>
                <w:sz w:val="18"/>
                <w:szCs w:val="18"/>
                <w:color w:val="202124"/>
              </w:rPr>
              <w:t>50 Hudson Yards</w:t>
            </w: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0"/>
        </w:trPr>
        <w:tc>
          <w:tcPr>
            <w:tcW w:w="7060" w:type="dxa"/>
            <w:vAlign w:val="bottom"/>
          </w:tcPr>
          <w:p>
            <w:pPr>
              <w:ind w:left="220"/>
              <w:spacing w:after="0"/>
              <w:rPr>
                <w:sz w:val="20"/>
                <w:szCs w:val="20"/>
                <w:color w:val="auto"/>
              </w:rPr>
            </w:pPr>
            <w:r>
              <w:rPr>
                <w:rFonts w:ascii="Arial" w:cs="Arial" w:eastAsia="Arial" w:hAnsi="Arial"/>
                <w:sz w:val="18"/>
                <w:szCs w:val="18"/>
                <w:color w:val="202124"/>
              </w:rPr>
              <w:t>New York, NY 10001</w:t>
            </w: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0"/>
        </w:trPr>
        <w:tc>
          <w:tcPr>
            <w:tcW w:w="7060" w:type="dxa"/>
            <w:vAlign w:val="bottom"/>
          </w:tcPr>
          <w:p>
            <w:pPr>
              <w:spacing w:after="0" w:line="250" w:lineRule="exact"/>
              <w:rPr>
                <w:sz w:val="20"/>
                <w:szCs w:val="20"/>
                <w:color w:val="auto"/>
              </w:rPr>
            </w:pPr>
            <w:r>
              <w:rPr>
                <w:rFonts w:ascii="Arial" w:cs="Arial" w:eastAsia="Arial" w:hAnsi="Arial"/>
                <w:sz w:val="18"/>
                <w:szCs w:val="18"/>
                <w:color w:val="202124"/>
              </w:rPr>
              <w:t xml:space="preserve">Vanguard Capital Management LLC </w:t>
            </w:r>
            <w:r>
              <w:rPr>
                <w:rFonts w:ascii="Arial" w:cs="Arial" w:eastAsia="Arial" w:hAnsi="Arial"/>
                <w:sz w:val="26"/>
                <w:szCs w:val="26"/>
                <w:color w:val="202124"/>
                <w:vertAlign w:val="superscript"/>
              </w:rPr>
              <w:t>(3)</w:t>
            </w:r>
          </w:p>
        </w:tc>
        <w:tc>
          <w:tcPr>
            <w:tcW w:w="1260" w:type="dxa"/>
            <w:vAlign w:val="bottom"/>
          </w:tcPr>
          <w:p>
            <w:pPr>
              <w:jc w:val="center"/>
              <w:ind w:left="217"/>
              <w:spacing w:after="0"/>
              <w:rPr>
                <w:sz w:val="20"/>
                <w:szCs w:val="20"/>
                <w:color w:val="auto"/>
              </w:rPr>
            </w:pPr>
            <w:r>
              <w:rPr>
                <w:rFonts w:ascii="Arial" w:cs="Arial" w:eastAsia="Arial" w:hAnsi="Arial"/>
                <w:sz w:val="18"/>
                <w:szCs w:val="18"/>
                <w:color w:val="202124"/>
                <w:w w:val="99"/>
              </w:rPr>
              <w:t>1,241,699</w:t>
            </w:r>
          </w:p>
        </w:tc>
        <w:tc>
          <w:tcPr>
            <w:tcW w:w="1400" w:type="dxa"/>
            <w:vAlign w:val="bottom"/>
          </w:tcPr>
          <w:p>
            <w:pPr>
              <w:jc w:val="center"/>
              <w:ind w:left="157"/>
              <w:spacing w:after="0"/>
              <w:rPr>
                <w:sz w:val="20"/>
                <w:szCs w:val="20"/>
                <w:color w:val="auto"/>
              </w:rPr>
            </w:pPr>
            <w:r>
              <w:rPr>
                <w:rFonts w:ascii="Arial" w:cs="Arial" w:eastAsia="Arial" w:hAnsi="Arial"/>
                <w:sz w:val="18"/>
                <w:szCs w:val="18"/>
                <w:color w:val="202124"/>
              </w:rPr>
              <w:t>7.72%</w:t>
            </w:r>
          </w:p>
        </w:tc>
      </w:tr>
      <w:tr>
        <w:trPr>
          <w:trHeight w:val="239"/>
        </w:trPr>
        <w:tc>
          <w:tcPr>
            <w:tcW w:w="7060" w:type="dxa"/>
            <w:vAlign w:val="bottom"/>
          </w:tcPr>
          <w:p>
            <w:pPr>
              <w:ind w:left="220"/>
              <w:spacing w:after="0"/>
              <w:rPr>
                <w:sz w:val="20"/>
                <w:szCs w:val="20"/>
                <w:color w:val="auto"/>
              </w:rPr>
            </w:pPr>
            <w:r>
              <w:rPr>
                <w:rFonts w:ascii="Arial" w:cs="Arial" w:eastAsia="Arial" w:hAnsi="Arial"/>
                <w:sz w:val="18"/>
                <w:szCs w:val="18"/>
                <w:color w:val="202124"/>
              </w:rPr>
              <w:t>100 Vanguard Blvd.</w:t>
            </w: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8"/>
                <w:szCs w:val="18"/>
                <w:color w:val="202124"/>
              </w:rPr>
              <w:t>Malvern, PA 19355</w:t>
            </w: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95"/>
        </w:trPr>
        <w:tc>
          <w:tcPr>
            <w:tcW w:w="7060" w:type="dxa"/>
            <w:vAlign w:val="bottom"/>
          </w:tcPr>
          <w:p>
            <w:pPr>
              <w:spacing w:after="0" w:line="296" w:lineRule="exact"/>
              <w:rPr>
                <w:sz w:val="20"/>
                <w:szCs w:val="20"/>
                <w:color w:val="auto"/>
              </w:rPr>
            </w:pPr>
            <w:r>
              <w:rPr>
                <w:rFonts w:ascii="Arial" w:cs="Arial" w:eastAsia="Arial" w:hAnsi="Arial"/>
                <w:sz w:val="18"/>
                <w:szCs w:val="18"/>
                <w:color w:val="202124"/>
              </w:rPr>
              <w:t>J.P. Morgan Chase &amp; Co</w:t>
            </w:r>
            <w:r>
              <w:rPr>
                <w:rFonts w:ascii="Arial" w:cs="Arial" w:eastAsia="Arial" w:hAnsi="Arial"/>
                <w:sz w:val="26"/>
                <w:szCs w:val="26"/>
                <w:color w:val="202124"/>
                <w:vertAlign w:val="superscript"/>
              </w:rPr>
              <w:t>(4)</w:t>
            </w:r>
          </w:p>
        </w:tc>
        <w:tc>
          <w:tcPr>
            <w:tcW w:w="1260" w:type="dxa"/>
            <w:vAlign w:val="bottom"/>
          </w:tcPr>
          <w:p>
            <w:pPr>
              <w:jc w:val="center"/>
              <w:ind w:left="217"/>
              <w:spacing w:after="0"/>
              <w:rPr>
                <w:sz w:val="20"/>
                <w:szCs w:val="20"/>
                <w:color w:val="auto"/>
              </w:rPr>
            </w:pPr>
            <w:r>
              <w:rPr>
                <w:rFonts w:ascii="Arial" w:cs="Arial" w:eastAsia="Arial" w:hAnsi="Arial"/>
                <w:sz w:val="18"/>
                <w:szCs w:val="18"/>
                <w:color w:val="202124"/>
                <w:w w:val="99"/>
              </w:rPr>
              <w:t>1,235,814</w:t>
            </w:r>
          </w:p>
        </w:tc>
        <w:tc>
          <w:tcPr>
            <w:tcW w:w="1400" w:type="dxa"/>
            <w:vAlign w:val="bottom"/>
          </w:tcPr>
          <w:p>
            <w:pPr>
              <w:jc w:val="center"/>
              <w:ind w:left="157"/>
              <w:spacing w:after="0"/>
              <w:rPr>
                <w:sz w:val="20"/>
                <w:szCs w:val="20"/>
                <w:color w:val="auto"/>
              </w:rPr>
            </w:pPr>
            <w:r>
              <w:rPr>
                <w:rFonts w:ascii="Arial" w:cs="Arial" w:eastAsia="Arial" w:hAnsi="Arial"/>
                <w:sz w:val="18"/>
                <w:szCs w:val="18"/>
                <w:color w:val="202124"/>
              </w:rPr>
              <w:t>7.68%</w:t>
            </w:r>
          </w:p>
        </w:tc>
      </w:tr>
    </w:tbl>
    <w:p>
      <w:pPr>
        <w:ind w:left="860"/>
        <w:spacing w:after="0"/>
        <w:rPr>
          <w:sz w:val="20"/>
          <w:szCs w:val="20"/>
          <w:color w:val="auto"/>
        </w:rPr>
      </w:pPr>
      <w:r>
        <w:rPr>
          <w:rFonts w:ascii="Arial" w:cs="Arial" w:eastAsia="Arial" w:hAnsi="Arial"/>
          <w:sz w:val="18"/>
          <w:szCs w:val="18"/>
          <w:color w:val="202124"/>
        </w:rPr>
        <w:t>270 Park Avenue</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8"/>
          <w:szCs w:val="18"/>
          <w:color w:val="202124"/>
        </w:rPr>
        <w:t>New York, NY 10017</w:t>
      </w:r>
    </w:p>
    <w:p>
      <w:pPr>
        <w:spacing w:after="0" w:line="189" w:lineRule="exact"/>
        <w:rPr>
          <w:sz w:val="20"/>
          <w:szCs w:val="20"/>
          <w:color w:val="auto"/>
        </w:rPr>
      </w:pPr>
    </w:p>
    <w:p>
      <w:pPr>
        <w:ind w:left="960" w:right="140" w:hanging="316"/>
        <w:spacing w:after="0" w:line="205" w:lineRule="auto"/>
        <w:tabs>
          <w:tab w:leader="none" w:pos="960" w:val="left"/>
        </w:tabs>
        <w:numPr>
          <w:ilvl w:val="0"/>
          <w:numId w:val="105"/>
        </w:numPr>
        <w:rPr>
          <w:rFonts w:ascii="Arial" w:cs="Arial" w:eastAsia="Arial" w:hAnsi="Arial"/>
          <w:sz w:val="24"/>
          <w:szCs w:val="24"/>
          <w:color w:val="202124"/>
          <w:vertAlign w:val="superscript"/>
        </w:rPr>
      </w:pPr>
      <w:r>
        <w:rPr>
          <w:rFonts w:ascii="Arial" w:cs="Arial" w:eastAsia="Arial" w:hAnsi="Arial"/>
          <w:sz w:val="16"/>
          <w:szCs w:val="16"/>
          <w:color w:val="202124"/>
        </w:rPr>
        <w:t>The ownership percentages are calculated based on the number of shares of AutoZone common stock outstanding as of October 19, 2026.</w:t>
      </w:r>
    </w:p>
    <w:p>
      <w:pPr>
        <w:spacing w:after="0" w:line="1" w:lineRule="exact"/>
        <w:rPr>
          <w:rFonts w:ascii="Arial" w:cs="Arial" w:eastAsia="Arial" w:hAnsi="Arial"/>
          <w:sz w:val="24"/>
          <w:szCs w:val="24"/>
          <w:color w:val="202124"/>
          <w:vertAlign w:val="superscript"/>
        </w:rPr>
      </w:pPr>
    </w:p>
    <w:p>
      <w:pPr>
        <w:ind w:left="960" w:right="180" w:hanging="316"/>
        <w:spacing w:after="0" w:line="197" w:lineRule="auto"/>
        <w:tabs>
          <w:tab w:leader="none" w:pos="960" w:val="left"/>
        </w:tabs>
        <w:numPr>
          <w:ilvl w:val="0"/>
          <w:numId w:val="105"/>
        </w:numPr>
        <w:rPr>
          <w:rFonts w:ascii="Arial" w:cs="Arial" w:eastAsia="Arial" w:hAnsi="Arial"/>
          <w:sz w:val="24"/>
          <w:szCs w:val="24"/>
          <w:color w:val="202124"/>
          <w:vertAlign w:val="superscript"/>
        </w:rPr>
      </w:pPr>
      <w:r>
        <w:rPr>
          <w:rFonts w:ascii="Arial" w:cs="Arial" w:eastAsia="Arial" w:hAnsi="Arial"/>
          <w:sz w:val="16"/>
          <w:szCs w:val="16"/>
          <w:color w:val="202124"/>
        </w:rPr>
        <w:t>Amounts reported in the table are based on information contained in a Schedule 13G/A filed by BlackRock, Inc. (“BlackRock”) on January 26, 2024; as of December 31, 2023, BlackRock beneficially owned 1,273,656 shares of common stock, including</w:t>
      </w:r>
    </w:p>
    <w:p>
      <w:pPr>
        <w:ind w:left="1220" w:hanging="252"/>
        <w:spacing w:after="0"/>
        <w:tabs>
          <w:tab w:leader="none" w:pos="1220" w:val="left"/>
        </w:tabs>
        <w:numPr>
          <w:ilvl w:val="1"/>
          <w:numId w:val="105"/>
        </w:numPr>
        <w:rPr>
          <w:rFonts w:ascii="Arial" w:cs="Arial" w:eastAsia="Arial" w:hAnsi="Arial"/>
          <w:sz w:val="16"/>
          <w:szCs w:val="16"/>
          <w:color w:val="202124"/>
        </w:rPr>
      </w:pPr>
      <w:r>
        <w:rPr>
          <w:rFonts w:ascii="Arial" w:cs="Arial" w:eastAsia="Arial" w:hAnsi="Arial"/>
          <w:sz w:val="16"/>
          <w:szCs w:val="16"/>
          <w:color w:val="202124"/>
        </w:rPr>
        <w:t>1,141,373 shares over which it had sole voting power and (b) 1,273,656 shares over which it had sole dispositive power.</w:t>
      </w:r>
    </w:p>
    <w:p>
      <w:pPr>
        <w:spacing w:after="0" w:line="5" w:lineRule="exact"/>
        <w:rPr>
          <w:rFonts w:ascii="Arial" w:cs="Arial" w:eastAsia="Arial" w:hAnsi="Arial"/>
          <w:sz w:val="16"/>
          <w:szCs w:val="16"/>
          <w:color w:val="202124"/>
        </w:rPr>
      </w:pPr>
    </w:p>
    <w:p>
      <w:pPr>
        <w:jc w:val="both"/>
        <w:ind w:left="960" w:right="120" w:hanging="316"/>
        <w:spacing w:after="0" w:line="197" w:lineRule="auto"/>
        <w:tabs>
          <w:tab w:leader="none" w:pos="960" w:val="left"/>
        </w:tabs>
        <w:numPr>
          <w:ilvl w:val="0"/>
          <w:numId w:val="105"/>
        </w:numPr>
        <w:rPr>
          <w:rFonts w:ascii="Arial" w:cs="Arial" w:eastAsia="Arial" w:hAnsi="Arial"/>
          <w:sz w:val="24"/>
          <w:szCs w:val="24"/>
          <w:color w:val="202124"/>
          <w:vertAlign w:val="superscript"/>
        </w:rPr>
      </w:pPr>
      <w:r>
        <w:rPr>
          <w:rFonts w:ascii="Arial" w:cs="Arial" w:eastAsia="Arial" w:hAnsi="Arial"/>
          <w:sz w:val="16"/>
          <w:szCs w:val="16"/>
          <w:color w:val="202124"/>
        </w:rPr>
        <w:t>Amounts reported in the table are based on information contained in a Schedule 13G filed by Vanguard Capital Management LLC (“Vanguard”) on April 29, 2026; as of March 31, 2026, Vanguard beneficially owned 1,241,699 shares of common stock, including</w:t>
      </w:r>
    </w:p>
    <w:p>
      <w:pPr>
        <w:ind w:left="1220" w:hanging="252"/>
        <w:spacing w:after="0"/>
        <w:tabs>
          <w:tab w:leader="none" w:pos="1220" w:val="left"/>
        </w:tabs>
        <w:numPr>
          <w:ilvl w:val="1"/>
          <w:numId w:val="105"/>
        </w:numPr>
        <w:rPr>
          <w:rFonts w:ascii="Arial" w:cs="Arial" w:eastAsia="Arial" w:hAnsi="Arial"/>
          <w:sz w:val="16"/>
          <w:szCs w:val="16"/>
          <w:color w:val="202124"/>
        </w:rPr>
      </w:pPr>
      <w:r>
        <w:rPr>
          <w:rFonts w:ascii="Arial" w:cs="Arial" w:eastAsia="Arial" w:hAnsi="Arial"/>
          <w:sz w:val="16"/>
          <w:szCs w:val="16"/>
          <w:color w:val="202124"/>
        </w:rPr>
        <w:t>164, 975 shares over which it had sole voting power and (b) 1,241,699 shares over which it had sole dispositive power.</w:t>
      </w:r>
    </w:p>
    <w:p>
      <w:pPr>
        <w:spacing w:after="0" w:line="5" w:lineRule="exact"/>
        <w:rPr>
          <w:rFonts w:ascii="Arial" w:cs="Arial" w:eastAsia="Arial" w:hAnsi="Arial"/>
          <w:sz w:val="16"/>
          <w:szCs w:val="16"/>
          <w:color w:val="202124"/>
        </w:rPr>
      </w:pPr>
    </w:p>
    <w:p>
      <w:pPr>
        <w:ind w:left="960" w:right="320" w:hanging="316"/>
        <w:spacing w:after="0" w:line="197" w:lineRule="auto"/>
        <w:tabs>
          <w:tab w:leader="none" w:pos="960" w:val="left"/>
        </w:tabs>
        <w:numPr>
          <w:ilvl w:val="0"/>
          <w:numId w:val="105"/>
        </w:numPr>
        <w:rPr>
          <w:rFonts w:ascii="Arial" w:cs="Arial" w:eastAsia="Arial" w:hAnsi="Arial"/>
          <w:sz w:val="24"/>
          <w:szCs w:val="24"/>
          <w:color w:val="202124"/>
          <w:vertAlign w:val="superscript"/>
        </w:rPr>
      </w:pPr>
      <w:r>
        <w:rPr>
          <w:rFonts w:ascii="Arial" w:cs="Arial" w:eastAsia="Arial" w:hAnsi="Arial"/>
          <w:sz w:val="16"/>
          <w:szCs w:val="16"/>
          <w:color w:val="202124"/>
        </w:rPr>
        <w:t>Amounts reported in the table are based on information contained in a Schedule 13G/A filed by J.P. Morgan Chase &amp; Co. (“J.P. Morgan”) on July 27, 2026; as of June 30, 2026, J.P. Morgan beneficially owned 1,235,814 shares of common stock, including</w:t>
      </w:r>
    </w:p>
    <w:p>
      <w:pPr>
        <w:ind w:left="960" w:right="180" w:firstLine="8"/>
        <w:spacing w:after="0" w:line="265" w:lineRule="auto"/>
        <w:tabs>
          <w:tab w:leader="none" w:pos="1203" w:val="left"/>
        </w:tabs>
        <w:numPr>
          <w:ilvl w:val="1"/>
          <w:numId w:val="105"/>
        </w:numPr>
        <w:rPr>
          <w:rFonts w:ascii="Arial" w:cs="Arial" w:eastAsia="Arial" w:hAnsi="Arial"/>
          <w:sz w:val="16"/>
          <w:szCs w:val="16"/>
          <w:color w:val="202124"/>
        </w:rPr>
      </w:pPr>
      <w:r>
        <w:rPr>
          <w:rFonts w:ascii="Arial" w:cs="Arial" w:eastAsia="Arial" w:hAnsi="Arial"/>
          <w:sz w:val="16"/>
          <w:szCs w:val="16"/>
          <w:color w:val="202124"/>
        </w:rPr>
        <w:t>1,094,668 shares over which it had sole voting power, (b) 12,794 shares over which it had shared voting power, (c) 1,234,081 shares over which it had sole dispositive power and (d) 1,700 shares over which it had shared dispositive power.</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DELINQUENT SECTION 16(A) REPORTS</w:t>
      </w:r>
    </w:p>
    <w:p>
      <w:pPr>
        <w:spacing w:after="0" w:line="63" w:lineRule="exact"/>
        <w:rPr>
          <w:sz w:val="20"/>
          <w:szCs w:val="20"/>
          <w:color w:val="auto"/>
        </w:rPr>
      </w:pPr>
    </w:p>
    <w:p>
      <w:pPr>
        <w:ind w:left="640" w:right="120"/>
        <w:spacing w:after="0"/>
        <w:rPr>
          <w:sz w:val="20"/>
          <w:szCs w:val="20"/>
          <w:color w:val="auto"/>
        </w:rPr>
      </w:pPr>
      <w:r>
        <w:rPr>
          <w:rFonts w:ascii="Arial" w:cs="Arial" w:eastAsia="Arial" w:hAnsi="Arial"/>
          <w:sz w:val="18"/>
          <w:szCs w:val="18"/>
          <w:color w:val="202124"/>
        </w:rPr>
        <w:t>Securities laws require our executive officers, directors, and beneficial owners of more than ten percent of our common stock to file insider trading reports (Forms 3, 4, and 5) with the SEC and the NYSE relating to the number of shares of common stock that they own, and any changes in their ownership. To our knowledge, based solely on our records and certain written representations received from our executive officers and directors, during the fiscal year ended August 29, 2026, all persons related to AutoZone that are required to file these insider trading reports have filed them in a timely manner, except for a Form 4 filed on February 27, 2026 for George R. Mrkonic Jr. resulting from an administrative error. Copies of the insider trading reports can be found on the Investor Relations page of the AutoZone website at www.autozone.com.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75</w:t>
            </w:r>
          </w:p>
        </w:tc>
      </w:tr>
    </w:tbl>
    <w:p>
      <w:pPr>
        <w:sectPr>
          <w:pgSz w:w="11900" w:h="16838" w:orient="portrait"/>
          <w:cols w:equalWidth="0" w:num="1">
            <w:col w:w="10360"/>
          </w:cols>
          <w:pgMar w:left="440" w:top="106" w:right="1099" w:bottom="1440" w:gutter="0" w:footer="0" w:header="0"/>
        </w:sectPr>
      </w:pPr>
    </w:p>
    <w:bookmarkStart w:id="78" w:name="page79"/>
    <w:bookmarkEnd w:id="7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Equity Compensation Plans</w:t>
      </w:r>
    </w:p>
    <w:p>
      <w:pPr>
        <w:spacing w:after="0" w:line="111" w:lineRule="exact"/>
        <w:rPr>
          <w:sz w:val="20"/>
          <w:szCs w:val="20"/>
          <w:color w:val="auto"/>
        </w:rPr>
      </w:pPr>
    </w:p>
    <w:p>
      <w:pPr>
        <w:ind w:left="640" w:right="160"/>
        <w:spacing w:after="0" w:line="281" w:lineRule="auto"/>
        <w:rPr>
          <w:sz w:val="20"/>
          <w:szCs w:val="20"/>
          <w:color w:val="auto"/>
        </w:rPr>
      </w:pPr>
      <w:r>
        <w:rPr>
          <w:rFonts w:ascii="Arial" w:cs="Arial" w:eastAsia="Arial" w:hAnsi="Arial"/>
          <w:sz w:val="18"/>
          <w:szCs w:val="18"/>
          <w:color w:val="202124"/>
        </w:rPr>
        <w:t>The following table sets forth certain information as of August 29, 2026, with respect to compensation plans under which shares of AutoZone common stock may be issued</w:t>
      </w:r>
      <w:r>
        <w:rPr>
          <w:rFonts w:ascii="Arial" w:cs="Arial" w:eastAsia="Arial" w:hAnsi="Arial"/>
          <w:sz w:val="18"/>
          <w:szCs w:val="18"/>
          <w:b w:val="1"/>
          <w:bCs w:val="1"/>
          <w:color w:val="202124"/>
        </w:rPr>
        <w:t>.</w:t>
      </w:r>
    </w:p>
    <w:p>
      <w:pPr>
        <w:spacing w:after="0" w:line="34" w:lineRule="exact"/>
        <w:rPr>
          <w:sz w:val="20"/>
          <w:szCs w:val="20"/>
          <w:color w:val="auto"/>
        </w:rPr>
      </w:pPr>
    </w:p>
    <w:tbl>
      <w:tblPr>
        <w:tblLayout w:type="fixed"/>
        <w:tblInd w:w="960" w:type="dxa"/>
        <w:tblCellMar>
          <w:top w:w="0" w:type="dxa"/>
          <w:left w:w="0" w:type="dxa"/>
          <w:bottom w:w="0" w:type="dxa"/>
          <w:right w:w="0" w:type="dxa"/>
        </w:tblCellMar>
      </w:tblPr>
      <w:tr>
        <w:trPr>
          <w:trHeight w:val="189"/>
        </w:trPr>
        <w:tc>
          <w:tcPr>
            <w:tcW w:w="4040" w:type="dxa"/>
            <w:vAlign w:val="bottom"/>
            <w:shd w:val="clear" w:color="auto" w:fill="212322"/>
          </w:tcPr>
          <w:p>
            <w:pPr>
              <w:spacing w:after="0"/>
              <w:rPr>
                <w:sz w:val="16"/>
                <w:szCs w:val="16"/>
                <w:color w:val="auto"/>
              </w:rPr>
            </w:pPr>
          </w:p>
        </w:tc>
        <w:tc>
          <w:tcPr>
            <w:tcW w:w="1860" w:type="dxa"/>
            <w:vAlign w:val="bottom"/>
            <w:shd w:val="clear" w:color="auto" w:fill="212322"/>
          </w:tcPr>
          <w:p>
            <w:pPr>
              <w:jc w:val="right"/>
              <w:ind w:right="1583"/>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212322"/>
          </w:tcPr>
          <w:p>
            <w:pPr>
              <w:jc w:val="right"/>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212322"/>
          </w:tcPr>
          <w:p>
            <w:pPr>
              <w:spacing w:after="0"/>
              <w:rPr>
                <w:sz w:val="16"/>
                <w:szCs w:val="16"/>
                <w:color w:val="auto"/>
              </w:rPr>
            </w:pPr>
          </w:p>
        </w:tc>
        <w:tc>
          <w:tcPr>
            <w:tcW w:w="1680" w:type="dxa"/>
            <w:vAlign w:val="bottom"/>
            <w:shd w:val="clear" w:color="auto" w:fill="212322"/>
          </w:tcPr>
          <w:p>
            <w:pPr>
              <w:jc w:val="right"/>
              <w:ind w:right="3"/>
              <w:spacing w:after="0"/>
              <w:rPr>
                <w:sz w:val="20"/>
                <w:szCs w:val="20"/>
                <w:color w:val="auto"/>
              </w:rPr>
            </w:pPr>
            <w:r>
              <w:rPr>
                <w:rFonts w:ascii="Arial" w:cs="Arial" w:eastAsia="Arial" w:hAnsi="Arial"/>
                <w:sz w:val="14"/>
                <w:szCs w:val="14"/>
                <w:b w:val="1"/>
                <w:bCs w:val="1"/>
                <w:color w:val="FFFFFF"/>
              </w:rPr>
              <w:t>​​​ Number of securities</w:t>
            </w:r>
          </w:p>
        </w:tc>
      </w:tr>
      <w:tr>
        <w:trPr>
          <w:trHeight w:val="162"/>
        </w:trPr>
        <w:tc>
          <w:tcPr>
            <w:tcW w:w="4040" w:type="dxa"/>
            <w:vAlign w:val="bottom"/>
            <w:shd w:val="clear" w:color="auto" w:fill="212322"/>
          </w:tcPr>
          <w:p>
            <w:pPr>
              <w:spacing w:after="0"/>
              <w:rPr>
                <w:sz w:val="14"/>
                <w:szCs w:val="14"/>
                <w:color w:val="auto"/>
              </w:rPr>
            </w:pPr>
          </w:p>
        </w:tc>
        <w:tc>
          <w:tcPr>
            <w:tcW w:w="1860" w:type="dxa"/>
            <w:vAlign w:val="bottom"/>
            <w:shd w:val="clear" w:color="auto" w:fill="212322"/>
          </w:tcPr>
          <w:p>
            <w:pPr>
              <w:spacing w:after="0"/>
              <w:rPr>
                <w:sz w:val="14"/>
                <w:szCs w:val="14"/>
                <w:color w:val="auto"/>
              </w:rPr>
            </w:pPr>
          </w:p>
        </w:tc>
        <w:tc>
          <w:tcPr>
            <w:tcW w:w="280" w:type="dxa"/>
            <w:vAlign w:val="bottom"/>
            <w:shd w:val="clear" w:color="auto" w:fill="212322"/>
          </w:tcPr>
          <w:p>
            <w:pPr>
              <w:spacing w:after="0"/>
              <w:rPr>
                <w:sz w:val="14"/>
                <w:szCs w:val="14"/>
                <w:color w:val="auto"/>
              </w:rPr>
            </w:pPr>
          </w:p>
        </w:tc>
        <w:tc>
          <w:tcPr>
            <w:tcW w:w="1480" w:type="dxa"/>
            <w:vAlign w:val="bottom"/>
            <w:shd w:val="clear" w:color="auto" w:fill="212322"/>
          </w:tcPr>
          <w:p>
            <w:pPr>
              <w:spacing w:after="0"/>
              <w:rPr>
                <w:sz w:val="14"/>
                <w:szCs w:val="14"/>
                <w:color w:val="auto"/>
              </w:rPr>
            </w:pPr>
          </w:p>
        </w:tc>
        <w:tc>
          <w:tcPr>
            <w:tcW w:w="1680" w:type="dxa"/>
            <w:vAlign w:val="bottom"/>
            <w:shd w:val="clear" w:color="auto" w:fill="212322"/>
          </w:tcPr>
          <w:p>
            <w:pPr>
              <w:jc w:val="center"/>
              <w:ind w:left="43"/>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4040" w:type="dxa"/>
            <w:vAlign w:val="bottom"/>
            <w:shd w:val="clear" w:color="auto" w:fill="212322"/>
          </w:tcPr>
          <w:p>
            <w:pPr>
              <w:spacing w:after="0"/>
              <w:rPr>
                <w:sz w:val="14"/>
                <w:szCs w:val="14"/>
                <w:color w:val="auto"/>
              </w:rPr>
            </w:pPr>
          </w:p>
        </w:tc>
        <w:tc>
          <w:tcPr>
            <w:tcW w:w="1860" w:type="dxa"/>
            <w:vAlign w:val="bottom"/>
            <w:shd w:val="clear" w:color="auto" w:fill="212322"/>
          </w:tcPr>
          <w:p>
            <w:pPr>
              <w:jc w:val="center"/>
              <w:ind w:left="103"/>
              <w:spacing w:after="0"/>
              <w:rPr>
                <w:sz w:val="20"/>
                <w:szCs w:val="20"/>
                <w:color w:val="auto"/>
              </w:rPr>
            </w:pPr>
            <w:r>
              <w:rPr>
                <w:rFonts w:ascii="Arial" w:cs="Arial" w:eastAsia="Arial" w:hAnsi="Arial"/>
                <w:sz w:val="14"/>
                <w:szCs w:val="14"/>
                <w:b w:val="1"/>
                <w:bCs w:val="1"/>
                <w:color w:val="FFFFFF"/>
              </w:rPr>
              <w:t>Number of securities to</w:t>
            </w:r>
          </w:p>
        </w:tc>
        <w:tc>
          <w:tcPr>
            <w:tcW w:w="280" w:type="dxa"/>
            <w:vAlign w:val="bottom"/>
            <w:shd w:val="clear" w:color="auto" w:fill="212322"/>
          </w:tcPr>
          <w:p>
            <w:pPr>
              <w:spacing w:after="0"/>
              <w:rPr>
                <w:sz w:val="14"/>
                <w:szCs w:val="14"/>
                <w:color w:val="auto"/>
              </w:rPr>
            </w:pPr>
          </w:p>
        </w:tc>
        <w:tc>
          <w:tcPr>
            <w:tcW w:w="1480" w:type="dxa"/>
            <w:vAlign w:val="bottom"/>
            <w:shd w:val="clear" w:color="auto" w:fill="212322"/>
          </w:tcPr>
          <w:p>
            <w:pPr>
              <w:spacing w:after="0"/>
              <w:rPr>
                <w:sz w:val="14"/>
                <w:szCs w:val="14"/>
                <w:color w:val="auto"/>
              </w:rPr>
            </w:pPr>
          </w:p>
        </w:tc>
        <w:tc>
          <w:tcPr>
            <w:tcW w:w="1680" w:type="dxa"/>
            <w:vAlign w:val="bottom"/>
            <w:shd w:val="clear" w:color="auto" w:fill="212322"/>
          </w:tcPr>
          <w:p>
            <w:pPr>
              <w:jc w:val="center"/>
              <w:ind w:left="23"/>
              <w:spacing w:after="0"/>
              <w:rPr>
                <w:sz w:val="20"/>
                <w:szCs w:val="20"/>
                <w:color w:val="auto"/>
              </w:rPr>
            </w:pPr>
            <w:r>
              <w:rPr>
                <w:rFonts w:ascii="Arial" w:cs="Arial" w:eastAsia="Arial" w:hAnsi="Arial"/>
                <w:sz w:val="14"/>
                <w:szCs w:val="14"/>
                <w:b w:val="1"/>
                <w:bCs w:val="1"/>
                <w:color w:val="FFFFFF"/>
              </w:rPr>
              <w:t>future issuance under</w:t>
            </w:r>
          </w:p>
        </w:tc>
      </w:tr>
      <w:tr>
        <w:trPr>
          <w:trHeight w:val="162"/>
        </w:trPr>
        <w:tc>
          <w:tcPr>
            <w:tcW w:w="4040" w:type="dxa"/>
            <w:vAlign w:val="bottom"/>
            <w:shd w:val="clear" w:color="auto" w:fill="212322"/>
          </w:tcPr>
          <w:p>
            <w:pPr>
              <w:spacing w:after="0"/>
              <w:rPr>
                <w:sz w:val="14"/>
                <w:szCs w:val="14"/>
                <w:color w:val="auto"/>
              </w:rPr>
            </w:pPr>
          </w:p>
        </w:tc>
        <w:tc>
          <w:tcPr>
            <w:tcW w:w="1860" w:type="dxa"/>
            <w:vAlign w:val="bottom"/>
            <w:shd w:val="clear" w:color="auto" w:fill="212322"/>
          </w:tcPr>
          <w:p>
            <w:pPr>
              <w:jc w:val="center"/>
              <w:ind w:left="103"/>
              <w:spacing w:after="0"/>
              <w:rPr>
                <w:sz w:val="20"/>
                <w:szCs w:val="20"/>
                <w:color w:val="auto"/>
              </w:rPr>
            </w:pPr>
            <w:r>
              <w:rPr>
                <w:rFonts w:ascii="Arial" w:cs="Arial" w:eastAsia="Arial" w:hAnsi="Arial"/>
                <w:sz w:val="14"/>
                <w:szCs w:val="14"/>
                <w:b w:val="1"/>
                <w:bCs w:val="1"/>
                <w:color w:val="FFFFFF"/>
              </w:rPr>
              <w:t>be issued upon exercise</w:t>
            </w:r>
          </w:p>
        </w:tc>
        <w:tc>
          <w:tcPr>
            <w:tcW w:w="280" w:type="dxa"/>
            <w:vAlign w:val="bottom"/>
            <w:shd w:val="clear" w:color="auto" w:fill="212322"/>
          </w:tcPr>
          <w:p>
            <w:pPr>
              <w:spacing w:after="0"/>
              <w:rPr>
                <w:sz w:val="14"/>
                <w:szCs w:val="14"/>
                <w:color w:val="auto"/>
              </w:rPr>
            </w:pPr>
          </w:p>
        </w:tc>
        <w:tc>
          <w:tcPr>
            <w:tcW w:w="1480" w:type="dxa"/>
            <w:vAlign w:val="bottom"/>
            <w:shd w:val="clear" w:color="auto" w:fill="212322"/>
          </w:tcPr>
          <w:p>
            <w:pPr>
              <w:jc w:val="center"/>
              <w:ind w:right="80"/>
              <w:spacing w:after="0"/>
              <w:rPr>
                <w:sz w:val="20"/>
                <w:szCs w:val="20"/>
                <w:color w:val="auto"/>
              </w:rPr>
            </w:pPr>
            <w:r>
              <w:rPr>
                <w:rFonts w:ascii="Arial" w:cs="Arial" w:eastAsia="Arial" w:hAnsi="Arial"/>
                <w:sz w:val="14"/>
                <w:szCs w:val="14"/>
                <w:b w:val="1"/>
                <w:bCs w:val="1"/>
                <w:color w:val="FFFFFF"/>
              </w:rPr>
              <w:t>Weighted-average</w:t>
            </w:r>
          </w:p>
        </w:tc>
        <w:tc>
          <w:tcPr>
            <w:tcW w:w="1680" w:type="dxa"/>
            <w:vAlign w:val="bottom"/>
            <w:shd w:val="clear" w:color="auto" w:fill="212322"/>
          </w:tcPr>
          <w:p>
            <w:pPr>
              <w:jc w:val="center"/>
              <w:ind w:left="43"/>
              <w:spacing w:after="0"/>
              <w:rPr>
                <w:sz w:val="20"/>
                <w:szCs w:val="20"/>
                <w:color w:val="auto"/>
              </w:rPr>
            </w:pPr>
            <w:r>
              <w:rPr>
                <w:rFonts w:ascii="Arial" w:cs="Arial" w:eastAsia="Arial" w:hAnsi="Arial"/>
                <w:sz w:val="14"/>
                <w:szCs w:val="14"/>
                <w:b w:val="1"/>
                <w:bCs w:val="1"/>
                <w:color w:val="FFFFFF"/>
              </w:rPr>
              <w:t>equity compensation</w:t>
            </w:r>
          </w:p>
        </w:tc>
      </w:tr>
      <w:tr>
        <w:trPr>
          <w:trHeight w:val="162"/>
        </w:trPr>
        <w:tc>
          <w:tcPr>
            <w:tcW w:w="4040" w:type="dxa"/>
            <w:vAlign w:val="bottom"/>
            <w:shd w:val="clear" w:color="auto" w:fill="212322"/>
          </w:tcPr>
          <w:p>
            <w:pPr>
              <w:spacing w:after="0"/>
              <w:rPr>
                <w:sz w:val="14"/>
                <w:szCs w:val="14"/>
                <w:color w:val="auto"/>
              </w:rPr>
            </w:pPr>
          </w:p>
        </w:tc>
        <w:tc>
          <w:tcPr>
            <w:tcW w:w="1860" w:type="dxa"/>
            <w:vAlign w:val="bottom"/>
            <w:shd w:val="clear" w:color="auto" w:fill="212322"/>
          </w:tcPr>
          <w:p>
            <w:pPr>
              <w:jc w:val="center"/>
              <w:ind w:left="103"/>
              <w:spacing w:after="0"/>
              <w:rPr>
                <w:sz w:val="20"/>
                <w:szCs w:val="20"/>
                <w:color w:val="auto"/>
              </w:rPr>
            </w:pPr>
            <w:r>
              <w:rPr>
                <w:rFonts w:ascii="Arial" w:cs="Arial" w:eastAsia="Arial" w:hAnsi="Arial"/>
                <w:sz w:val="14"/>
                <w:szCs w:val="14"/>
                <w:b w:val="1"/>
                <w:bCs w:val="1"/>
                <w:color w:val="FFFFFF"/>
              </w:rPr>
              <w:t>of outstanding</w:t>
            </w:r>
          </w:p>
        </w:tc>
        <w:tc>
          <w:tcPr>
            <w:tcW w:w="280" w:type="dxa"/>
            <w:vAlign w:val="bottom"/>
            <w:shd w:val="clear" w:color="auto" w:fill="212322"/>
          </w:tcPr>
          <w:p>
            <w:pPr>
              <w:spacing w:after="0"/>
              <w:rPr>
                <w:sz w:val="14"/>
                <w:szCs w:val="14"/>
                <w:color w:val="auto"/>
              </w:rPr>
            </w:pPr>
          </w:p>
        </w:tc>
        <w:tc>
          <w:tcPr>
            <w:tcW w:w="1480" w:type="dxa"/>
            <w:vAlign w:val="bottom"/>
            <w:shd w:val="clear" w:color="auto" w:fill="212322"/>
          </w:tcPr>
          <w:p>
            <w:pPr>
              <w:jc w:val="center"/>
              <w:ind w:right="100"/>
              <w:spacing w:after="0"/>
              <w:rPr>
                <w:sz w:val="20"/>
                <w:szCs w:val="20"/>
                <w:color w:val="auto"/>
              </w:rPr>
            </w:pPr>
            <w:r>
              <w:rPr>
                <w:rFonts w:ascii="Arial" w:cs="Arial" w:eastAsia="Arial" w:hAnsi="Arial"/>
                <w:sz w:val="14"/>
                <w:szCs w:val="14"/>
                <w:b w:val="1"/>
                <w:bCs w:val="1"/>
                <w:color w:val="FFFFFF"/>
              </w:rPr>
              <w:t>exercise price of</w:t>
            </w:r>
          </w:p>
        </w:tc>
        <w:tc>
          <w:tcPr>
            <w:tcW w:w="1680" w:type="dxa"/>
            <w:vAlign w:val="bottom"/>
            <w:shd w:val="clear" w:color="auto" w:fill="212322"/>
          </w:tcPr>
          <w:p>
            <w:pPr>
              <w:jc w:val="center"/>
              <w:ind w:left="23"/>
              <w:spacing w:after="0"/>
              <w:rPr>
                <w:sz w:val="20"/>
                <w:szCs w:val="20"/>
                <w:color w:val="auto"/>
              </w:rPr>
            </w:pPr>
            <w:r>
              <w:rPr>
                <w:rFonts w:ascii="Arial" w:cs="Arial" w:eastAsia="Arial" w:hAnsi="Arial"/>
                <w:sz w:val="14"/>
                <w:szCs w:val="14"/>
                <w:b w:val="1"/>
                <w:bCs w:val="1"/>
                <w:color w:val="FFFFFF"/>
              </w:rPr>
              <w:t>plans (excluding</w:t>
            </w:r>
          </w:p>
        </w:tc>
      </w:tr>
      <w:tr>
        <w:trPr>
          <w:trHeight w:val="162"/>
        </w:trPr>
        <w:tc>
          <w:tcPr>
            <w:tcW w:w="4040" w:type="dxa"/>
            <w:vAlign w:val="bottom"/>
            <w:shd w:val="clear" w:color="auto" w:fill="212322"/>
          </w:tcPr>
          <w:p>
            <w:pPr>
              <w:spacing w:after="0"/>
              <w:rPr>
                <w:sz w:val="14"/>
                <w:szCs w:val="14"/>
                <w:color w:val="auto"/>
              </w:rPr>
            </w:pPr>
          </w:p>
        </w:tc>
        <w:tc>
          <w:tcPr>
            <w:tcW w:w="1860" w:type="dxa"/>
            <w:vAlign w:val="bottom"/>
            <w:shd w:val="clear" w:color="auto" w:fill="212322"/>
          </w:tcPr>
          <w:p>
            <w:pPr>
              <w:jc w:val="center"/>
              <w:ind w:left="103"/>
              <w:spacing w:after="0"/>
              <w:rPr>
                <w:sz w:val="20"/>
                <w:szCs w:val="20"/>
                <w:color w:val="auto"/>
              </w:rPr>
            </w:pPr>
            <w:r>
              <w:rPr>
                <w:rFonts w:ascii="Arial" w:cs="Arial" w:eastAsia="Arial" w:hAnsi="Arial"/>
                <w:sz w:val="14"/>
                <w:szCs w:val="14"/>
                <w:b w:val="1"/>
                <w:bCs w:val="1"/>
                <w:color w:val="FFFFFF"/>
              </w:rPr>
              <w:t>options, warrants</w:t>
            </w:r>
          </w:p>
        </w:tc>
        <w:tc>
          <w:tcPr>
            <w:tcW w:w="1760" w:type="dxa"/>
            <w:vAlign w:val="bottom"/>
            <w:gridSpan w:val="2"/>
            <w:shd w:val="clear" w:color="auto" w:fill="212322"/>
          </w:tcPr>
          <w:p>
            <w:pPr>
              <w:jc w:val="center"/>
              <w:ind w:left="19"/>
              <w:spacing w:after="0"/>
              <w:rPr>
                <w:sz w:val="20"/>
                <w:szCs w:val="20"/>
                <w:color w:val="auto"/>
              </w:rPr>
            </w:pPr>
            <w:r>
              <w:rPr>
                <w:rFonts w:ascii="Arial" w:cs="Arial" w:eastAsia="Arial" w:hAnsi="Arial"/>
                <w:sz w:val="14"/>
                <w:szCs w:val="14"/>
                <w:b w:val="1"/>
                <w:bCs w:val="1"/>
                <w:color w:val="FFFFFF"/>
              </w:rPr>
              <w:t>outstanding options,</w:t>
            </w:r>
          </w:p>
        </w:tc>
        <w:tc>
          <w:tcPr>
            <w:tcW w:w="1680" w:type="dxa"/>
            <w:vAlign w:val="bottom"/>
            <w:shd w:val="clear" w:color="auto" w:fill="212322"/>
          </w:tcPr>
          <w:p>
            <w:pPr>
              <w:jc w:val="center"/>
              <w:ind w:left="23"/>
              <w:spacing w:after="0"/>
              <w:rPr>
                <w:sz w:val="20"/>
                <w:szCs w:val="20"/>
                <w:color w:val="auto"/>
              </w:rPr>
            </w:pPr>
            <w:r>
              <w:rPr>
                <w:rFonts w:ascii="Arial" w:cs="Arial" w:eastAsia="Arial" w:hAnsi="Arial"/>
                <w:sz w:val="14"/>
                <w:szCs w:val="14"/>
                <w:b w:val="1"/>
                <w:bCs w:val="1"/>
                <w:color w:val="FFFFFF"/>
              </w:rPr>
              <w:t>securities reflected</w:t>
            </w:r>
          </w:p>
        </w:tc>
      </w:tr>
      <w:tr>
        <w:trPr>
          <w:trHeight w:val="153"/>
        </w:trPr>
        <w:tc>
          <w:tcPr>
            <w:tcW w:w="4040" w:type="dxa"/>
            <w:vAlign w:val="bottom"/>
            <w:shd w:val="clear" w:color="auto" w:fill="212322"/>
          </w:tcPr>
          <w:p>
            <w:pPr>
              <w:spacing w:after="0"/>
              <w:rPr>
                <w:sz w:val="13"/>
                <w:szCs w:val="13"/>
                <w:color w:val="auto"/>
              </w:rPr>
            </w:pPr>
          </w:p>
        </w:tc>
        <w:tc>
          <w:tcPr>
            <w:tcW w:w="1860" w:type="dxa"/>
            <w:vAlign w:val="bottom"/>
            <w:shd w:val="clear" w:color="auto" w:fill="212322"/>
          </w:tcPr>
          <w:p>
            <w:pPr>
              <w:jc w:val="center"/>
              <w:ind w:left="83"/>
              <w:spacing w:after="0" w:line="153" w:lineRule="exact"/>
              <w:rPr>
                <w:sz w:val="20"/>
                <w:szCs w:val="20"/>
                <w:color w:val="auto"/>
              </w:rPr>
            </w:pPr>
            <w:r>
              <w:rPr>
                <w:rFonts w:ascii="Arial" w:cs="Arial" w:eastAsia="Arial" w:hAnsi="Arial"/>
                <w:sz w:val="14"/>
                <w:szCs w:val="14"/>
                <w:b w:val="1"/>
                <w:bCs w:val="1"/>
                <w:color w:val="FFFFFF"/>
              </w:rPr>
              <w:t>and rights</w:t>
            </w:r>
          </w:p>
        </w:tc>
        <w:tc>
          <w:tcPr>
            <w:tcW w:w="280" w:type="dxa"/>
            <w:vAlign w:val="bottom"/>
            <w:shd w:val="clear" w:color="auto" w:fill="212322"/>
          </w:tcPr>
          <w:p>
            <w:pPr>
              <w:spacing w:after="0"/>
              <w:rPr>
                <w:sz w:val="13"/>
                <w:szCs w:val="13"/>
                <w:color w:val="auto"/>
              </w:rPr>
            </w:pPr>
          </w:p>
        </w:tc>
        <w:tc>
          <w:tcPr>
            <w:tcW w:w="1480" w:type="dxa"/>
            <w:vAlign w:val="bottom"/>
            <w:shd w:val="clear" w:color="auto" w:fill="212322"/>
          </w:tcPr>
          <w:p>
            <w:pPr>
              <w:jc w:val="right"/>
              <w:spacing w:after="0" w:line="153" w:lineRule="exact"/>
              <w:rPr>
                <w:sz w:val="20"/>
                <w:szCs w:val="20"/>
                <w:color w:val="auto"/>
              </w:rPr>
            </w:pPr>
            <w:r>
              <w:rPr>
                <w:rFonts w:ascii="Arial" w:cs="Arial" w:eastAsia="Arial" w:hAnsi="Arial"/>
                <w:sz w:val="14"/>
                <w:szCs w:val="14"/>
                <w:b w:val="1"/>
                <w:bCs w:val="1"/>
                <w:color w:val="FFFFFF"/>
              </w:rPr>
              <w:t>warrants and rights</w:t>
            </w:r>
          </w:p>
        </w:tc>
        <w:tc>
          <w:tcPr>
            <w:tcW w:w="1680" w:type="dxa"/>
            <w:vAlign w:val="bottom"/>
            <w:shd w:val="clear" w:color="auto" w:fill="212322"/>
          </w:tcPr>
          <w:p>
            <w:pPr>
              <w:jc w:val="center"/>
              <w:ind w:left="23"/>
              <w:spacing w:after="0" w:line="153" w:lineRule="exact"/>
              <w:rPr>
                <w:sz w:val="20"/>
                <w:szCs w:val="20"/>
                <w:color w:val="auto"/>
              </w:rPr>
            </w:pPr>
            <w:r>
              <w:rPr>
                <w:rFonts w:ascii="Arial" w:cs="Arial" w:eastAsia="Arial" w:hAnsi="Arial"/>
                <w:sz w:val="14"/>
                <w:szCs w:val="14"/>
                <w:b w:val="1"/>
                <w:bCs w:val="1"/>
                <w:color w:val="FFFFFF"/>
              </w:rPr>
              <w:t>in the first column)</w:t>
            </w:r>
          </w:p>
        </w:tc>
      </w:tr>
      <w:tr>
        <w:trPr>
          <w:trHeight w:val="171"/>
        </w:trPr>
        <w:tc>
          <w:tcPr>
            <w:tcW w:w="4040" w:type="dxa"/>
            <w:vAlign w:val="bottom"/>
            <w:shd w:val="clear" w:color="auto" w:fill="212322"/>
          </w:tcPr>
          <w:p>
            <w:pPr>
              <w:spacing w:after="0"/>
              <w:rPr>
                <w:sz w:val="20"/>
                <w:szCs w:val="20"/>
                <w:color w:val="auto"/>
              </w:rPr>
            </w:pPr>
            <w:r>
              <w:rPr>
                <w:rFonts w:ascii="Arial" w:cs="Arial" w:eastAsia="Arial" w:hAnsi="Arial"/>
                <w:sz w:val="14"/>
                <w:szCs w:val="14"/>
                <w:b w:val="1"/>
                <w:bCs w:val="1"/>
                <w:color w:val="FFFFFF"/>
              </w:rPr>
              <w:t>Plan Category</w:t>
            </w:r>
          </w:p>
        </w:tc>
        <w:tc>
          <w:tcPr>
            <w:tcW w:w="1860" w:type="dxa"/>
            <w:vAlign w:val="bottom"/>
            <w:shd w:val="clear" w:color="auto" w:fill="212322"/>
          </w:tcPr>
          <w:p>
            <w:pPr>
              <w:jc w:val="center"/>
              <w:ind w:left="83"/>
              <w:spacing w:after="0"/>
              <w:rPr>
                <w:sz w:val="20"/>
                <w:szCs w:val="20"/>
                <w:color w:val="auto"/>
              </w:rPr>
            </w:pPr>
            <w:r>
              <w:rPr>
                <w:rFonts w:ascii="Arial" w:cs="Arial" w:eastAsia="Arial" w:hAnsi="Arial"/>
                <w:sz w:val="14"/>
                <w:szCs w:val="14"/>
                <w:b w:val="1"/>
                <w:bCs w:val="1"/>
                <w:color w:val="FFFFFF"/>
              </w:rPr>
              <w:t>(a)</w:t>
            </w:r>
          </w:p>
        </w:tc>
        <w:tc>
          <w:tcPr>
            <w:tcW w:w="280" w:type="dxa"/>
            <w:vAlign w:val="bottom"/>
            <w:shd w:val="clear" w:color="auto" w:fill="212322"/>
          </w:tcPr>
          <w:p>
            <w:pPr>
              <w:spacing w:after="0"/>
              <w:rPr>
                <w:sz w:val="14"/>
                <w:szCs w:val="14"/>
                <w:color w:val="auto"/>
              </w:rPr>
            </w:pPr>
          </w:p>
        </w:tc>
        <w:tc>
          <w:tcPr>
            <w:tcW w:w="1480" w:type="dxa"/>
            <w:vAlign w:val="bottom"/>
            <w:shd w:val="clear" w:color="auto" w:fill="212322"/>
          </w:tcPr>
          <w:p>
            <w:pPr>
              <w:jc w:val="center"/>
              <w:ind w:right="100"/>
              <w:spacing w:after="0"/>
              <w:rPr>
                <w:sz w:val="20"/>
                <w:szCs w:val="20"/>
                <w:color w:val="auto"/>
              </w:rPr>
            </w:pPr>
            <w:r>
              <w:rPr>
                <w:rFonts w:ascii="Arial" w:cs="Arial" w:eastAsia="Arial" w:hAnsi="Arial"/>
                <w:sz w:val="14"/>
                <w:szCs w:val="14"/>
                <w:b w:val="1"/>
                <w:bCs w:val="1"/>
                <w:color w:val="FFFFFF"/>
              </w:rPr>
              <w:t>(b)</w:t>
            </w:r>
          </w:p>
        </w:tc>
        <w:tc>
          <w:tcPr>
            <w:tcW w:w="1680" w:type="dxa"/>
            <w:vAlign w:val="bottom"/>
            <w:shd w:val="clear" w:color="auto" w:fill="212322"/>
          </w:tcPr>
          <w:p>
            <w:pPr>
              <w:jc w:val="center"/>
              <w:ind w:left="23"/>
              <w:spacing w:after="0"/>
              <w:rPr>
                <w:sz w:val="20"/>
                <w:szCs w:val="20"/>
                <w:color w:val="auto"/>
              </w:rPr>
            </w:pPr>
            <w:r>
              <w:rPr>
                <w:rFonts w:ascii="Arial" w:cs="Arial" w:eastAsia="Arial" w:hAnsi="Arial"/>
                <w:sz w:val="14"/>
                <w:szCs w:val="14"/>
                <w:b w:val="1"/>
                <w:bCs w:val="1"/>
                <w:color w:val="FFFFFF"/>
              </w:rPr>
              <w:t>(c)</w:t>
            </w:r>
          </w:p>
        </w:tc>
      </w:tr>
      <w:tr>
        <w:trPr>
          <w:trHeight w:val="265"/>
        </w:trPr>
        <w:tc>
          <w:tcPr>
            <w:tcW w:w="4040" w:type="dxa"/>
            <w:vAlign w:val="bottom"/>
          </w:tcPr>
          <w:p>
            <w:pPr>
              <w:spacing w:after="0"/>
              <w:rPr>
                <w:sz w:val="20"/>
                <w:szCs w:val="20"/>
                <w:color w:val="auto"/>
              </w:rPr>
            </w:pPr>
            <w:r>
              <w:rPr>
                <w:rFonts w:ascii="Arial" w:cs="Arial" w:eastAsia="Arial" w:hAnsi="Arial"/>
                <w:sz w:val="18"/>
                <w:szCs w:val="18"/>
                <w:color w:val="202124"/>
              </w:rPr>
              <w:t>Equity compensation plans approved by security</w:t>
            </w: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21"/>
        </w:trPr>
        <w:tc>
          <w:tcPr>
            <w:tcW w:w="404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holders (1)</w:t>
            </w:r>
          </w:p>
        </w:tc>
        <w:tc>
          <w:tcPr>
            <w:tcW w:w="1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889,893</w:t>
            </w:r>
          </w:p>
        </w:tc>
        <w:tc>
          <w:tcPr>
            <w:tcW w:w="2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c>
          <w:tcPr>
            <w:tcW w:w="1480" w:type="dxa"/>
            <w:vAlign w:val="bottom"/>
            <w:tcBorders>
              <w:bottom w:val="single" w:sz="8" w:color="808080"/>
            </w:tcBorders>
          </w:tcPr>
          <w:p>
            <w:pPr>
              <w:jc w:val="right"/>
              <w:ind w:right="20"/>
              <w:spacing w:after="0"/>
              <w:rPr>
                <w:sz w:val="20"/>
                <w:szCs w:val="20"/>
                <w:color w:val="auto"/>
              </w:rPr>
            </w:pPr>
            <w:r>
              <w:rPr>
                <w:rFonts w:ascii="Arial" w:cs="Arial" w:eastAsia="Arial" w:hAnsi="Arial"/>
                <w:sz w:val="18"/>
                <w:szCs w:val="18"/>
                <w:color w:val="202124"/>
              </w:rPr>
              <w:t>2,138.76</w:t>
            </w:r>
          </w:p>
        </w:tc>
        <w:tc>
          <w:tcPr>
            <w:tcW w:w="1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1,477,932</w:t>
            </w:r>
          </w:p>
        </w:tc>
      </w:tr>
      <w:tr>
        <w:trPr>
          <w:trHeight w:val="245"/>
        </w:trPr>
        <w:tc>
          <w:tcPr>
            <w:tcW w:w="4040" w:type="dxa"/>
            <w:vAlign w:val="bottom"/>
          </w:tcPr>
          <w:p>
            <w:pPr>
              <w:spacing w:after="0"/>
              <w:rPr>
                <w:sz w:val="20"/>
                <w:szCs w:val="20"/>
                <w:color w:val="auto"/>
              </w:rPr>
            </w:pPr>
            <w:r>
              <w:rPr>
                <w:rFonts w:ascii="Arial" w:cs="Arial" w:eastAsia="Arial" w:hAnsi="Arial"/>
                <w:sz w:val="18"/>
                <w:szCs w:val="18"/>
                <w:color w:val="202124"/>
              </w:rPr>
              <w:t>Equity compensation plans not approved by</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21"/>
        </w:trPr>
        <w:tc>
          <w:tcPr>
            <w:tcW w:w="4040" w:type="dxa"/>
            <w:vAlign w:val="bottom"/>
            <w:tcBorders>
              <w:bottom w:val="single" w:sz="8" w:color="808080"/>
            </w:tcBorders>
          </w:tcPr>
          <w:p>
            <w:pPr>
              <w:spacing w:after="0"/>
              <w:rPr>
                <w:sz w:val="20"/>
                <w:szCs w:val="20"/>
                <w:color w:val="auto"/>
              </w:rPr>
            </w:pPr>
            <w:r>
              <w:rPr>
                <w:rFonts w:ascii="Arial" w:cs="Arial" w:eastAsia="Arial" w:hAnsi="Arial"/>
                <w:sz w:val="18"/>
                <w:szCs w:val="18"/>
                <w:color w:val="202124"/>
              </w:rPr>
              <w:t>security holders (2)</w:t>
            </w:r>
          </w:p>
        </w:tc>
        <w:tc>
          <w:tcPr>
            <w:tcW w:w="1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438</w:t>
            </w:r>
          </w:p>
        </w:tc>
        <w:tc>
          <w:tcPr>
            <w:tcW w:w="2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jc w:val="right"/>
              <w:ind w:right="20"/>
              <w:spacing w:after="0"/>
              <w:rPr>
                <w:sz w:val="20"/>
                <w:szCs w:val="20"/>
                <w:color w:val="auto"/>
              </w:rPr>
            </w:pPr>
            <w:r>
              <w:rPr>
                <w:rFonts w:ascii="Arial" w:cs="Arial" w:eastAsia="Arial" w:hAnsi="Arial"/>
                <w:sz w:val="18"/>
                <w:szCs w:val="18"/>
                <w:color w:val="202124"/>
              </w:rPr>
              <w:t>74.21</w:t>
            </w:r>
          </w:p>
        </w:tc>
        <w:tc>
          <w:tcPr>
            <w:tcW w:w="1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202124"/>
              </w:rPr>
              <w:t>—</w:t>
            </w:r>
          </w:p>
        </w:tc>
      </w:tr>
      <w:tr>
        <w:trPr>
          <w:trHeight w:val="217"/>
        </w:trPr>
        <w:tc>
          <w:tcPr>
            <w:tcW w:w="4040" w:type="dxa"/>
            <w:vAlign w:val="bottom"/>
            <w:tcBorders>
              <w:bottom w:val="single" w:sz="8" w:color="202124"/>
            </w:tcBorders>
          </w:tcPr>
          <w:p>
            <w:pPr>
              <w:spacing w:after="0" w:line="196" w:lineRule="exact"/>
              <w:rPr>
                <w:sz w:val="20"/>
                <w:szCs w:val="20"/>
                <w:color w:val="auto"/>
              </w:rPr>
            </w:pPr>
            <w:r>
              <w:rPr>
                <w:rFonts w:ascii="Arial" w:cs="Arial" w:eastAsia="Arial" w:hAnsi="Arial"/>
                <w:sz w:val="18"/>
                <w:szCs w:val="18"/>
                <w:b w:val="1"/>
                <w:bCs w:val="1"/>
                <w:color w:val="202124"/>
              </w:rPr>
              <w:t>Total</w:t>
            </w:r>
          </w:p>
        </w:tc>
        <w:tc>
          <w:tcPr>
            <w:tcW w:w="1860" w:type="dxa"/>
            <w:vAlign w:val="bottom"/>
            <w:tcBorders>
              <w:bottom w:val="single" w:sz="8" w:color="202124"/>
            </w:tcBorders>
          </w:tcPr>
          <w:p>
            <w:pPr>
              <w:jc w:val="right"/>
              <w:spacing w:after="0" w:line="196" w:lineRule="exact"/>
              <w:rPr>
                <w:sz w:val="20"/>
                <w:szCs w:val="20"/>
                <w:color w:val="auto"/>
              </w:rPr>
            </w:pPr>
            <w:r>
              <w:rPr>
                <w:rFonts w:ascii="Arial" w:cs="Arial" w:eastAsia="Arial" w:hAnsi="Arial"/>
                <w:sz w:val="18"/>
                <w:szCs w:val="18"/>
                <w:b w:val="1"/>
                <w:bCs w:val="1"/>
                <w:color w:val="202124"/>
              </w:rPr>
              <w:t>890,331</w:t>
            </w:r>
          </w:p>
        </w:tc>
        <w:tc>
          <w:tcPr>
            <w:tcW w:w="280" w:type="dxa"/>
            <w:vAlign w:val="bottom"/>
            <w:tcBorders>
              <w:bottom w:val="single" w:sz="8" w:color="202124"/>
            </w:tcBorders>
          </w:tcPr>
          <w:p>
            <w:pPr>
              <w:jc w:val="right"/>
              <w:spacing w:after="0" w:line="196" w:lineRule="exact"/>
              <w:rPr>
                <w:sz w:val="20"/>
                <w:szCs w:val="20"/>
                <w:color w:val="auto"/>
              </w:rPr>
            </w:pPr>
            <w:r>
              <w:rPr>
                <w:rFonts w:ascii="Arial" w:cs="Arial" w:eastAsia="Arial" w:hAnsi="Arial"/>
                <w:sz w:val="18"/>
                <w:szCs w:val="18"/>
                <w:b w:val="1"/>
                <w:bCs w:val="1"/>
                <w:color w:val="202124"/>
              </w:rPr>
              <w:t>$</w:t>
            </w:r>
          </w:p>
        </w:tc>
        <w:tc>
          <w:tcPr>
            <w:tcW w:w="1480" w:type="dxa"/>
            <w:vAlign w:val="bottom"/>
            <w:tcBorders>
              <w:bottom w:val="single" w:sz="8" w:color="202124"/>
            </w:tcBorders>
          </w:tcPr>
          <w:p>
            <w:pPr>
              <w:jc w:val="right"/>
              <w:ind w:right="20"/>
              <w:spacing w:after="0" w:line="196" w:lineRule="exact"/>
              <w:rPr>
                <w:sz w:val="20"/>
                <w:szCs w:val="20"/>
                <w:color w:val="auto"/>
              </w:rPr>
            </w:pPr>
            <w:r>
              <w:rPr>
                <w:rFonts w:ascii="Arial" w:cs="Arial" w:eastAsia="Arial" w:hAnsi="Arial"/>
                <w:sz w:val="18"/>
                <w:szCs w:val="18"/>
                <w:b w:val="1"/>
                <w:bCs w:val="1"/>
                <w:color w:val="202124"/>
              </w:rPr>
              <w:t>2,137.75</w:t>
            </w:r>
          </w:p>
        </w:tc>
        <w:tc>
          <w:tcPr>
            <w:tcW w:w="1680" w:type="dxa"/>
            <w:vAlign w:val="bottom"/>
            <w:tcBorders>
              <w:bottom w:val="single" w:sz="8" w:color="202124"/>
            </w:tcBorders>
          </w:tcPr>
          <w:p>
            <w:pPr>
              <w:jc w:val="right"/>
              <w:spacing w:after="0" w:line="196" w:lineRule="exact"/>
              <w:rPr>
                <w:sz w:val="20"/>
                <w:szCs w:val="20"/>
                <w:color w:val="auto"/>
              </w:rPr>
            </w:pPr>
            <w:r>
              <w:rPr>
                <w:rFonts w:ascii="Arial" w:cs="Arial" w:eastAsia="Arial" w:hAnsi="Arial"/>
                <w:sz w:val="18"/>
                <w:szCs w:val="18"/>
                <w:b w:val="1"/>
                <w:bCs w:val="1"/>
                <w:color w:val="202124"/>
              </w:rPr>
              <w:t>1,477,932</w:t>
            </w:r>
          </w:p>
        </w:tc>
      </w:tr>
    </w:tbl>
    <w:p>
      <w:pPr>
        <w:spacing w:after="0" w:line="148" w:lineRule="exact"/>
        <w:rPr>
          <w:sz w:val="20"/>
          <w:szCs w:val="20"/>
          <w:color w:val="auto"/>
        </w:rPr>
      </w:pPr>
    </w:p>
    <w:p>
      <w:pPr>
        <w:ind w:left="960" w:right="20" w:hanging="316"/>
        <w:spacing w:after="0" w:line="253" w:lineRule="auto"/>
        <w:tabs>
          <w:tab w:leader="none" w:pos="960" w:val="left"/>
        </w:tabs>
        <w:numPr>
          <w:ilvl w:val="0"/>
          <w:numId w:val="106"/>
        </w:numPr>
        <w:rPr>
          <w:rFonts w:ascii="Arial" w:cs="Arial" w:eastAsia="Arial" w:hAnsi="Arial"/>
          <w:sz w:val="12"/>
          <w:szCs w:val="12"/>
          <w:color w:val="202124"/>
        </w:rPr>
      </w:pPr>
      <w:r>
        <w:rPr>
          <w:rFonts w:ascii="Arial" w:cs="Arial" w:eastAsia="Arial" w:hAnsi="Arial"/>
          <w:sz w:val="16"/>
          <w:szCs w:val="16"/>
          <w:color w:val="202124"/>
        </w:rPr>
        <w:t>Consists of the Amended 2011 Equity Plan, 2020 Omnibus Incentive Plan, the Employee Stock Purchase Plan, the Executive Stock Purchase Plan and the 2003 Director Compensation Plan. Column (a) consists of shares of common stock issuable upon exercise of outstanding options and upon vesting and payment of outstanding restricted stock units, stock appreciation rights and deferred shares under each of the foregoing plans. Restricted stock units and deferred shares are settled for shares of common stock on a one-for-one basis and have no exercise price. Accordingly, they have been excluded for purposes of computing the weighted-average exercise price in column (b). Column (c) consists of shares available for issuance pursuant to the 2020 Omnibus Incentive Plan, the Employee Stock Purchase Plan and the Executive Stock Purchase Plan.</w:t>
      </w:r>
    </w:p>
    <w:p>
      <w:pPr>
        <w:spacing w:after="0" w:line="73" w:lineRule="exact"/>
        <w:rPr>
          <w:rFonts w:ascii="Arial" w:cs="Arial" w:eastAsia="Arial" w:hAnsi="Arial"/>
          <w:sz w:val="12"/>
          <w:szCs w:val="12"/>
          <w:color w:val="202124"/>
        </w:rPr>
      </w:pPr>
    </w:p>
    <w:p>
      <w:pPr>
        <w:ind w:left="960" w:right="20" w:hanging="316"/>
        <w:spacing w:after="0" w:line="259" w:lineRule="auto"/>
        <w:tabs>
          <w:tab w:leader="none" w:pos="960" w:val="left"/>
        </w:tabs>
        <w:numPr>
          <w:ilvl w:val="0"/>
          <w:numId w:val="106"/>
        </w:numPr>
        <w:rPr>
          <w:rFonts w:ascii="Arial" w:cs="Arial" w:eastAsia="Arial" w:hAnsi="Arial"/>
          <w:sz w:val="12"/>
          <w:szCs w:val="12"/>
          <w:color w:val="202124"/>
        </w:rPr>
      </w:pPr>
      <w:r>
        <w:rPr>
          <w:rFonts w:ascii="Arial" w:cs="Arial" w:eastAsia="Arial" w:hAnsi="Arial"/>
          <w:sz w:val="16"/>
          <w:szCs w:val="16"/>
          <w:color w:val="202124"/>
        </w:rPr>
        <w:t>Consists of the AutoZone, Inc. Second Amended and Restated Director Compensation Plan, which was approved by the Board but was not submitted for approval by the shareholders as then permitted under the rules of the NYSE. This plan was terminated in December 2002. Any outstanding awards consist of stock appreciation rights that may be converted into shares immediately upon termination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76   </w:t>
      </w:r>
      <w:r>
        <w:rPr>
          <w:sz w:val="1"/>
          <w:szCs w:val="1"/>
          <w:color w:val="auto"/>
        </w:rPr>
        <w:drawing>
          <wp:inline distT="0" distB="0" distL="0" distR="0">
            <wp:extent cx="1165860"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79" w:name="page80"/>
    <w:bookmarkEnd w:id="7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660"/>
        <w:spacing w:after="0"/>
        <w:rPr>
          <w:sz w:val="20"/>
          <w:szCs w:val="20"/>
          <w:color w:val="auto"/>
        </w:rPr>
      </w:pPr>
      <w:r>
        <w:rPr>
          <w:rFonts w:ascii="Arial" w:cs="Arial" w:eastAsia="Arial" w:hAnsi="Arial"/>
          <w:sz w:val="47"/>
          <w:szCs w:val="47"/>
          <w:b w:val="1"/>
          <w:bCs w:val="1"/>
          <w:color w:val="202124"/>
        </w:rPr>
        <w:t>GENERAL INFORMATION</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Attending and Voting Information</w:t>
      </w:r>
    </w:p>
    <w:p>
      <w:pPr>
        <w:spacing w:after="0" w:line="124" w:lineRule="exact"/>
        <w:rPr>
          <w:sz w:val="20"/>
          <w:szCs w:val="20"/>
          <w:color w:val="auto"/>
        </w:rPr>
      </w:pPr>
    </w:p>
    <w:p>
      <w:pPr>
        <w:ind w:left="640" w:right="200"/>
        <w:spacing w:after="0" w:line="271" w:lineRule="auto"/>
        <w:rPr>
          <w:sz w:val="20"/>
          <w:szCs w:val="20"/>
          <w:color w:val="auto"/>
        </w:rPr>
      </w:pPr>
      <w:r>
        <w:rPr>
          <w:rFonts w:ascii="Arial" w:cs="Arial" w:eastAsia="Arial" w:hAnsi="Arial"/>
          <w:sz w:val="18"/>
          <w:szCs w:val="18"/>
          <w:color w:val="202124"/>
        </w:rPr>
        <w:t>During the Annual Meeting, the Company intends to answer questions that are pertinent to the Company and the official business of the Annual Meeting, subject to time constraints.</w:t>
      </w:r>
    </w:p>
    <w:p>
      <w:pPr>
        <w:spacing w:after="0" w:line="113" w:lineRule="exact"/>
        <w:rPr>
          <w:sz w:val="20"/>
          <w:szCs w:val="20"/>
          <w:color w:val="auto"/>
        </w:rPr>
      </w:pPr>
    </w:p>
    <w:p>
      <w:pPr>
        <w:ind w:left="640" w:right="60"/>
        <w:spacing w:after="0" w:line="253" w:lineRule="auto"/>
        <w:rPr>
          <w:sz w:val="20"/>
          <w:szCs w:val="20"/>
          <w:color w:val="auto"/>
        </w:rPr>
      </w:pPr>
      <w:r>
        <w:rPr>
          <w:rFonts w:ascii="Arial" w:cs="Arial" w:eastAsia="Arial" w:hAnsi="Arial"/>
          <w:sz w:val="18"/>
          <w:szCs w:val="18"/>
          <w:b w:val="1"/>
          <w:bCs w:val="1"/>
          <w:color w:val="F37F00"/>
        </w:rPr>
        <w:t xml:space="preserve">ANNUAL MEETING LOCATION. </w:t>
      </w:r>
      <w:r>
        <w:rPr>
          <w:rFonts w:ascii="Arial" w:cs="Arial" w:eastAsia="Arial" w:hAnsi="Arial"/>
          <w:sz w:val="18"/>
          <w:szCs w:val="18"/>
          <w:color w:val="202124"/>
        </w:rPr>
        <w:t>The Annual Meeting will be held at the J. R. Hyde III Store Support Center located at</w:t>
      </w:r>
      <w:r>
        <w:rPr>
          <w:rFonts w:ascii="Arial" w:cs="Arial" w:eastAsia="Arial" w:hAnsi="Arial"/>
          <w:sz w:val="18"/>
          <w:szCs w:val="18"/>
          <w:b w:val="1"/>
          <w:bCs w:val="1"/>
          <w:color w:val="F37F00"/>
        </w:rPr>
        <w:t xml:space="preserve"> </w:t>
      </w:r>
      <w:r>
        <w:rPr>
          <w:rFonts w:ascii="Arial" w:cs="Arial" w:eastAsia="Arial" w:hAnsi="Arial"/>
          <w:sz w:val="18"/>
          <w:szCs w:val="18"/>
          <w:color w:val="202124"/>
        </w:rPr>
        <w:t>123 S. Front St, Memphis, Tennessee 38103. You are encouraged to arrive early to allow sufficient time to secure parking and complete admission verification procedures.</w:t>
      </w:r>
    </w:p>
    <w:p>
      <w:pPr>
        <w:spacing w:after="0" w:line="128" w:lineRule="exact"/>
        <w:rPr>
          <w:sz w:val="20"/>
          <w:szCs w:val="20"/>
          <w:color w:val="auto"/>
        </w:rPr>
      </w:pPr>
    </w:p>
    <w:p>
      <w:pPr>
        <w:ind w:left="640" w:right="40"/>
        <w:spacing w:after="0" w:line="253" w:lineRule="auto"/>
        <w:rPr>
          <w:sz w:val="20"/>
          <w:szCs w:val="20"/>
          <w:color w:val="auto"/>
        </w:rPr>
      </w:pPr>
      <w:r>
        <w:rPr>
          <w:rFonts w:ascii="Arial" w:cs="Arial" w:eastAsia="Arial" w:hAnsi="Arial"/>
          <w:sz w:val="17"/>
          <w:szCs w:val="17"/>
          <w:b w:val="1"/>
          <w:bCs w:val="1"/>
          <w:color w:val="F37F00"/>
        </w:rPr>
        <w:t xml:space="preserve">ATTENDING THE ANNUAL MEETING. </w:t>
      </w:r>
      <w:r>
        <w:rPr>
          <w:rFonts w:ascii="Arial" w:cs="Arial" w:eastAsia="Arial" w:hAnsi="Arial"/>
          <w:sz w:val="17"/>
          <w:szCs w:val="17"/>
          <w:color w:val="202124"/>
        </w:rPr>
        <w:t>Only stockholders of record at the close of business on October 19, 2026, the</w:t>
      </w:r>
      <w:r>
        <w:rPr>
          <w:rFonts w:ascii="Arial" w:cs="Arial" w:eastAsia="Arial" w:hAnsi="Arial"/>
          <w:sz w:val="17"/>
          <w:szCs w:val="17"/>
          <w:b w:val="1"/>
          <w:bCs w:val="1"/>
          <w:color w:val="F37F00"/>
        </w:rPr>
        <w:t xml:space="preserve"> </w:t>
      </w:r>
      <w:r>
        <w:rPr>
          <w:rFonts w:ascii="Arial" w:cs="Arial" w:eastAsia="Arial" w:hAnsi="Arial"/>
          <w:sz w:val="17"/>
          <w:szCs w:val="17"/>
          <w:color w:val="202124"/>
        </w:rPr>
        <w:t xml:space="preserve">Record Date, or holders of a validly issued proxy, are entitled to attend and vote at the Annual Meeting. To be admitted, you must present a government-issued photo identification, such as a driver’s license, state-issued ID card or passport, and proof of share ownership as of the Record Date. To prove ownership, </w:t>
      </w:r>
      <w:r>
        <w:rPr>
          <w:rFonts w:ascii="Arial" w:cs="Arial" w:eastAsia="Arial" w:hAnsi="Arial"/>
          <w:sz w:val="17"/>
          <w:szCs w:val="17"/>
          <w:u w:val="single" w:color="auto"/>
          <w:color w:val="202124"/>
        </w:rPr>
        <w:t>stockholders of record</w:t>
      </w:r>
      <w:r>
        <w:rPr>
          <w:rFonts w:ascii="Arial" w:cs="Arial" w:eastAsia="Arial" w:hAnsi="Arial"/>
          <w:sz w:val="17"/>
          <w:szCs w:val="17"/>
          <w:color w:val="202124"/>
        </w:rPr>
        <w:t xml:space="preserve"> will be verified against our list of registered stockholders, and </w:t>
      </w:r>
      <w:r>
        <w:rPr>
          <w:rFonts w:ascii="Arial" w:cs="Arial" w:eastAsia="Arial" w:hAnsi="Arial"/>
          <w:sz w:val="17"/>
          <w:szCs w:val="17"/>
          <w:u w:val="single" w:color="auto"/>
          <w:color w:val="202124"/>
        </w:rPr>
        <w:t>beneficial stockholders</w:t>
      </w:r>
      <w:r>
        <w:rPr>
          <w:rFonts w:ascii="Arial" w:cs="Arial" w:eastAsia="Arial" w:hAnsi="Arial"/>
          <w:sz w:val="17"/>
          <w:szCs w:val="17"/>
          <w:color w:val="202124"/>
        </w:rPr>
        <w:t xml:space="preserve">, those who own their shares through an intermediary such as a bank or broker or other nominee, must show: an account statement showing their share ownership as of the Record Date; a copy of the voting instruction form or a valid legal proxy from the broker, trustee, bank or nominee holding the shares; a letter from a broker, trustee, bank or nominee holding the shares confirming the beneficial owner’s ownership as of the Record Date; or other similar evidence of ownership. </w:t>
      </w:r>
      <w:r>
        <w:rPr>
          <w:rFonts w:ascii="Arial" w:cs="Arial" w:eastAsia="Arial" w:hAnsi="Arial"/>
          <w:sz w:val="17"/>
          <w:szCs w:val="17"/>
          <w:b w:val="1"/>
          <w:bCs w:val="1"/>
          <w:color w:val="202124"/>
        </w:rPr>
        <w:t>We reserve the right to deny admittance to anyone who</w:t>
      </w:r>
      <w:r>
        <w:rPr>
          <w:rFonts w:ascii="Arial" w:cs="Arial" w:eastAsia="Arial" w:hAnsi="Arial"/>
          <w:sz w:val="17"/>
          <w:szCs w:val="17"/>
          <w:color w:val="202124"/>
        </w:rPr>
        <w:t xml:space="preserve"> </w:t>
      </w:r>
      <w:r>
        <w:rPr>
          <w:rFonts w:ascii="Arial" w:cs="Arial" w:eastAsia="Arial" w:hAnsi="Arial"/>
          <w:sz w:val="17"/>
          <w:szCs w:val="17"/>
          <w:b w:val="1"/>
          <w:bCs w:val="1"/>
          <w:color w:val="202124"/>
        </w:rPr>
        <w:t xml:space="preserve">does not comply with these requirements as determined in our sole discretion. </w:t>
      </w:r>
      <w:r>
        <w:rPr>
          <w:rFonts w:ascii="Arial" w:cs="Arial" w:eastAsia="Arial" w:hAnsi="Arial"/>
          <w:sz w:val="17"/>
          <w:szCs w:val="17"/>
          <w:color w:val="202124"/>
        </w:rPr>
        <w:t>If you hold shares in a joint account,</w:t>
      </w:r>
      <w:r>
        <w:rPr>
          <w:rFonts w:ascii="Arial" w:cs="Arial" w:eastAsia="Arial" w:hAnsi="Arial"/>
          <w:sz w:val="17"/>
          <w:szCs w:val="17"/>
          <w:b w:val="1"/>
          <w:bCs w:val="1"/>
          <w:color w:val="202124"/>
        </w:rPr>
        <w:t xml:space="preserve"> </w:t>
      </w:r>
      <w:r>
        <w:rPr>
          <w:rFonts w:ascii="Arial" w:cs="Arial" w:eastAsia="Arial" w:hAnsi="Arial"/>
          <w:sz w:val="17"/>
          <w:szCs w:val="17"/>
          <w:color w:val="202124"/>
        </w:rPr>
        <w:t>both owners can be admitted to the meeting if proof of joint ownership is provided and you both provide identification.</w:t>
      </w:r>
    </w:p>
    <w:p>
      <w:pPr>
        <w:spacing w:after="0" w:line="150" w:lineRule="exact"/>
        <w:rPr>
          <w:sz w:val="20"/>
          <w:szCs w:val="20"/>
          <w:color w:val="auto"/>
        </w:rPr>
      </w:pPr>
    </w:p>
    <w:p>
      <w:pPr>
        <w:ind w:left="640" w:right="480"/>
        <w:spacing w:after="0" w:line="253" w:lineRule="auto"/>
        <w:rPr>
          <w:sz w:val="20"/>
          <w:szCs w:val="20"/>
          <w:color w:val="auto"/>
        </w:rPr>
      </w:pPr>
      <w:r>
        <w:rPr>
          <w:rFonts w:ascii="Arial" w:cs="Arial" w:eastAsia="Arial" w:hAnsi="Arial"/>
          <w:sz w:val="18"/>
          <w:szCs w:val="18"/>
          <w:b w:val="1"/>
          <w:bCs w:val="1"/>
          <w:color w:val="F37F00"/>
        </w:rPr>
        <w:t xml:space="preserve">ASKING QUESTIONS. </w:t>
      </w:r>
      <w:r>
        <w:rPr>
          <w:rFonts w:ascii="Arial" w:cs="Arial" w:eastAsia="Arial" w:hAnsi="Arial"/>
          <w:sz w:val="18"/>
          <w:szCs w:val="18"/>
          <w:color w:val="202124"/>
        </w:rPr>
        <w:t>As time permits and in accordance with our meeting procedures, we intend to answer all</w:t>
      </w:r>
      <w:r>
        <w:rPr>
          <w:rFonts w:ascii="Arial" w:cs="Arial" w:eastAsia="Arial" w:hAnsi="Arial"/>
          <w:sz w:val="18"/>
          <w:szCs w:val="18"/>
          <w:b w:val="1"/>
          <w:bCs w:val="1"/>
          <w:color w:val="F37F00"/>
        </w:rPr>
        <w:t xml:space="preserve"> </w:t>
      </w:r>
      <w:r>
        <w:rPr>
          <w:rFonts w:ascii="Arial" w:cs="Arial" w:eastAsia="Arial" w:hAnsi="Arial"/>
          <w:sz w:val="18"/>
          <w:szCs w:val="18"/>
          <w:color w:val="202124"/>
        </w:rPr>
        <w:t>questions that are pertinent to the Company and to the items on which stockowners will vote during the 2026 Annual Meeting. Questions that are not pertinent to meeting matters will not be answered.</w:t>
      </w:r>
    </w:p>
    <w:p>
      <w:pPr>
        <w:spacing w:after="0" w:line="128" w:lineRule="exact"/>
        <w:rPr>
          <w:sz w:val="20"/>
          <w:szCs w:val="20"/>
          <w:color w:val="auto"/>
        </w:rPr>
      </w:pPr>
    </w:p>
    <w:p>
      <w:pPr>
        <w:ind w:left="640" w:right="200"/>
        <w:spacing w:after="0" w:line="271" w:lineRule="auto"/>
        <w:rPr>
          <w:sz w:val="20"/>
          <w:szCs w:val="20"/>
          <w:color w:val="auto"/>
        </w:rPr>
      </w:pPr>
      <w:r>
        <w:rPr>
          <w:rFonts w:ascii="Arial" w:cs="Arial" w:eastAsia="Arial" w:hAnsi="Arial"/>
          <w:sz w:val="18"/>
          <w:szCs w:val="18"/>
          <w:b w:val="1"/>
          <w:bCs w:val="1"/>
          <w:color w:val="F37F00"/>
        </w:rPr>
        <w:t xml:space="preserve">LIVE WEBCAST. </w:t>
      </w:r>
      <w:r>
        <w:rPr>
          <w:rFonts w:ascii="Arial" w:cs="Arial" w:eastAsia="Arial" w:hAnsi="Arial"/>
          <w:sz w:val="18"/>
          <w:szCs w:val="18"/>
          <w:color w:val="202124"/>
        </w:rPr>
        <w:t>A live, audio-only webcast and audio recording of the Annual Meeting will be available on the Investor</w:t>
      </w:r>
      <w:r>
        <w:rPr>
          <w:rFonts w:ascii="Arial" w:cs="Arial" w:eastAsia="Arial" w:hAnsi="Arial"/>
          <w:sz w:val="18"/>
          <w:szCs w:val="18"/>
          <w:b w:val="1"/>
          <w:bCs w:val="1"/>
          <w:color w:val="F37F00"/>
        </w:rPr>
        <w:t xml:space="preserve"> </w:t>
      </w:r>
      <w:r>
        <w:rPr>
          <w:rFonts w:ascii="Arial" w:cs="Arial" w:eastAsia="Arial" w:hAnsi="Arial"/>
          <w:sz w:val="18"/>
          <w:szCs w:val="18"/>
          <w:color w:val="202124"/>
        </w:rPr>
        <w:t>Relations page of our website at www.autozone.com for stockholders and interested guests.</w:t>
      </w:r>
    </w:p>
    <w:p>
      <w:pPr>
        <w:spacing w:after="0" w:line="113" w:lineRule="exact"/>
        <w:rPr>
          <w:sz w:val="20"/>
          <w:szCs w:val="20"/>
          <w:color w:val="auto"/>
        </w:rPr>
      </w:pPr>
    </w:p>
    <w:p>
      <w:pPr>
        <w:ind w:left="640" w:right="80"/>
        <w:spacing w:after="0" w:line="247" w:lineRule="auto"/>
        <w:rPr>
          <w:sz w:val="20"/>
          <w:szCs w:val="20"/>
          <w:color w:val="auto"/>
        </w:rPr>
      </w:pPr>
      <w:r>
        <w:rPr>
          <w:rFonts w:ascii="Arial" w:cs="Arial" w:eastAsia="Arial" w:hAnsi="Arial"/>
          <w:sz w:val="18"/>
          <w:szCs w:val="18"/>
          <w:b w:val="1"/>
          <w:bCs w:val="1"/>
          <w:color w:val="F37F00"/>
        </w:rPr>
        <w:t xml:space="preserve">HOW TO VOTE. </w:t>
      </w:r>
      <w:r>
        <w:rPr>
          <w:rFonts w:ascii="Arial" w:cs="Arial" w:eastAsia="Arial" w:hAnsi="Arial"/>
          <w:sz w:val="18"/>
          <w:szCs w:val="18"/>
          <w:color w:val="202124"/>
        </w:rPr>
        <w:t>The only class of stock that can be voted at the Annual Meeting is our common stock, which is the only</w:t>
      </w:r>
      <w:r>
        <w:rPr>
          <w:rFonts w:ascii="Arial" w:cs="Arial" w:eastAsia="Arial" w:hAnsi="Arial"/>
          <w:sz w:val="18"/>
          <w:szCs w:val="18"/>
          <w:b w:val="1"/>
          <w:bCs w:val="1"/>
          <w:color w:val="F37F00"/>
        </w:rPr>
        <w:t xml:space="preserve"> </w:t>
      </w:r>
      <w:r>
        <w:rPr>
          <w:rFonts w:ascii="Arial" w:cs="Arial" w:eastAsia="Arial" w:hAnsi="Arial"/>
          <w:sz w:val="18"/>
          <w:szCs w:val="18"/>
          <w:color w:val="202124"/>
        </w:rPr>
        <w:t>class of stock of AutoZone that is issued and outstanding. Each share of common stock is entitled to one vote on all matters that come before the Annual Meeting. At the close of business on the Record Date, we had 16,094,341 shares of common stock outstanding.</w:t>
      </w:r>
    </w:p>
    <w:p>
      <w:pPr>
        <w:spacing w:after="0" w:line="147" w:lineRule="exact"/>
        <w:rPr>
          <w:sz w:val="20"/>
          <w:szCs w:val="20"/>
          <w:color w:val="auto"/>
        </w:rPr>
      </w:pPr>
    </w:p>
    <w:p>
      <w:pPr>
        <w:jc w:val="both"/>
        <w:ind w:left="640" w:right="120"/>
        <w:spacing w:after="0" w:line="253" w:lineRule="auto"/>
        <w:rPr>
          <w:sz w:val="20"/>
          <w:szCs w:val="20"/>
          <w:color w:val="auto"/>
        </w:rPr>
      </w:pPr>
      <w:r>
        <w:rPr>
          <w:rFonts w:ascii="Arial" w:cs="Arial" w:eastAsia="Arial" w:hAnsi="Arial"/>
          <w:sz w:val="18"/>
          <w:szCs w:val="18"/>
          <w:b w:val="1"/>
          <w:bCs w:val="1"/>
          <w:color w:val="202124"/>
        </w:rPr>
        <w:t xml:space="preserve">Prior to the Meeting: </w:t>
      </w:r>
      <w:r>
        <w:rPr>
          <w:rFonts w:ascii="Arial" w:cs="Arial" w:eastAsia="Arial" w:hAnsi="Arial"/>
          <w:sz w:val="18"/>
          <w:szCs w:val="18"/>
          <w:u w:val="single" w:color="auto"/>
          <w:color w:val="202124"/>
        </w:rPr>
        <w:t>If you are a stockholder of record</w:t>
      </w:r>
      <w:r>
        <w:rPr>
          <w:rFonts w:ascii="Arial" w:cs="Arial" w:eastAsia="Arial" w:hAnsi="Arial"/>
          <w:sz w:val="18"/>
          <w:szCs w:val="18"/>
          <w:b w:val="1"/>
          <w:bCs w:val="1"/>
          <w:color w:val="202124"/>
        </w:rPr>
        <w:t xml:space="preserve"> </w:t>
      </w:r>
      <w:r>
        <w:rPr>
          <w:rFonts w:ascii="Arial" w:cs="Arial" w:eastAsia="Arial" w:hAnsi="Arial"/>
          <w:sz w:val="18"/>
          <w:szCs w:val="18"/>
          <w:color w:val="202124"/>
        </w:rPr>
        <w:t>as of the record date, you can vote by telephone, on the Internet</w:t>
      </w:r>
      <w:r>
        <w:rPr>
          <w:rFonts w:ascii="Arial" w:cs="Arial" w:eastAsia="Arial" w:hAnsi="Arial"/>
          <w:sz w:val="18"/>
          <w:szCs w:val="18"/>
          <w:b w:val="1"/>
          <w:bCs w:val="1"/>
          <w:color w:val="202124"/>
        </w:rPr>
        <w:t xml:space="preserve"> </w:t>
      </w:r>
      <w:r>
        <w:rPr>
          <w:rFonts w:ascii="Arial" w:cs="Arial" w:eastAsia="Arial" w:hAnsi="Arial"/>
          <w:sz w:val="18"/>
          <w:szCs w:val="18"/>
          <w:color w:val="202124"/>
        </w:rPr>
        <w:t>or by mail. We encourage you to vote by telephone or Internet, both of which are convenient, cost-effective, and reliable alternatives to returning your proxy card by mail.</w:t>
      </w:r>
    </w:p>
    <w:p>
      <w:pPr>
        <w:spacing w:after="0" w:line="128" w:lineRule="exact"/>
        <w:rPr>
          <w:sz w:val="20"/>
          <w:szCs w:val="20"/>
          <w:color w:val="auto"/>
        </w:rPr>
      </w:pPr>
    </w:p>
    <w:p>
      <w:pPr>
        <w:ind w:left="900"/>
        <w:spacing w:after="0"/>
        <w:tabs>
          <w:tab w:leader="none" w:pos="4020" w:val="left"/>
          <w:tab w:leader="none" w:pos="7180" w:val="left"/>
        </w:tabs>
        <w:rPr>
          <w:sz w:val="20"/>
          <w:szCs w:val="20"/>
          <w:color w:val="auto"/>
        </w:rPr>
      </w:pPr>
      <w:r>
        <w:rPr>
          <w:rFonts w:ascii="Arial" w:cs="Arial" w:eastAsia="Arial" w:hAnsi="Arial"/>
          <w:sz w:val="18"/>
          <w:szCs w:val="18"/>
          <w:b w:val="1"/>
          <w:bCs w:val="1"/>
          <w:color w:val="202124"/>
        </w:rPr>
        <w:t>On the Internet:</w:t>
      </w:r>
      <w:r>
        <w:rPr>
          <w:sz w:val="20"/>
          <w:szCs w:val="20"/>
          <w:color w:val="auto"/>
        </w:rPr>
        <w:tab/>
      </w:r>
      <w:r>
        <w:rPr>
          <w:rFonts w:ascii="Arial" w:cs="Arial" w:eastAsia="Arial" w:hAnsi="Arial"/>
          <w:sz w:val="18"/>
          <w:szCs w:val="18"/>
          <w:b w:val="1"/>
          <w:bCs w:val="1"/>
          <w:color w:val="202124"/>
        </w:rPr>
        <w:t>By Telephone:</w:t>
      </w:r>
      <w:r>
        <w:rPr>
          <w:sz w:val="20"/>
          <w:szCs w:val="20"/>
          <w:color w:val="auto"/>
        </w:rPr>
        <w:tab/>
      </w:r>
      <w:r>
        <w:rPr>
          <w:rFonts w:ascii="Arial" w:cs="Arial" w:eastAsia="Arial" w:hAnsi="Arial"/>
          <w:sz w:val="18"/>
          <w:szCs w:val="18"/>
          <w:b w:val="1"/>
          <w:bCs w:val="1"/>
          <w:color w:val="202124"/>
        </w:rPr>
        <w:t>By Mail:</w:t>
      </w:r>
    </w:p>
    <w:p>
      <w:pPr>
        <w:sectPr>
          <w:pgSz w:w="11900" w:h="16838" w:orient="portrait"/>
          <w:cols w:equalWidth="0" w:num="1">
            <w:col w:w="10360"/>
          </w:cols>
          <w:pgMar w:left="440" w:top="106" w:right="1099" w:bottom="1440" w:gutter="0" w:footer="0" w:header="0"/>
        </w:sectPr>
      </w:pPr>
    </w:p>
    <w:p>
      <w:pPr>
        <w:spacing w:after="0" w:line="81" w:lineRule="exact"/>
        <w:rPr>
          <w:sz w:val="20"/>
          <w:szCs w:val="20"/>
          <w:color w:val="auto"/>
        </w:rPr>
      </w:pPr>
    </w:p>
    <w:p>
      <w:pPr>
        <w:ind w:left="1920" w:right="260"/>
        <w:spacing w:after="0" w:line="253" w:lineRule="auto"/>
        <w:rPr>
          <w:sz w:val="20"/>
          <w:szCs w:val="20"/>
          <w:color w:val="auto"/>
        </w:rPr>
      </w:pPr>
      <w:r>
        <w:rPr>
          <w:rFonts w:ascii="Arial" w:cs="Arial" w:eastAsia="Arial" w:hAnsi="Arial"/>
          <w:sz w:val="16"/>
          <w:szCs w:val="16"/>
          <w:color w:val="202124"/>
        </w:rPr>
        <w:t>You may vote on the Internet by following the instructions on the Notice or proxy card. If you vote on the Internet, you do not have to mail in your proxy card.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520"/>
        <w:spacing w:after="0" w:line="254" w:lineRule="auto"/>
        <w:rPr>
          <w:sz w:val="20"/>
          <w:szCs w:val="20"/>
          <w:color w:val="auto"/>
        </w:rPr>
      </w:pPr>
      <w:r>
        <w:rPr>
          <w:rFonts w:ascii="Arial" w:cs="Arial" w:eastAsia="Arial" w:hAnsi="Arial"/>
          <w:sz w:val="16"/>
          <w:szCs w:val="16"/>
          <w:color w:val="202124"/>
        </w:rPr>
        <w:t>You may vote by telephone by following the instructions on the Notice or proxy card. If you submit your vote by telephone, you do not have to mail in your proxy card.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202124"/>
        </w:rPr>
        <w:t>If you received printed proxy materials, you may vote by properly completing and signing the enclosed proxy card and returning it in the enclosed envelope.</w:t>
      </w:r>
    </w:p>
    <w:p>
      <w:pPr>
        <w:spacing w:after="0" w:line="200" w:lineRule="exact"/>
        <w:rPr>
          <w:sz w:val="20"/>
          <w:szCs w:val="20"/>
          <w:color w:val="auto"/>
        </w:rPr>
      </w:pPr>
    </w:p>
    <w:p>
      <w:pPr>
        <w:sectPr>
          <w:pgSz w:w="11900" w:h="16838" w:orient="portrait"/>
          <w:cols w:equalWidth="0" w:num="3">
            <w:col w:w="4000" w:space="720"/>
            <w:col w:w="2720" w:space="720"/>
            <w:col w:w="2200"/>
          </w:cols>
          <w:pgMar w:left="440" w:top="106" w:right="1099" w:bottom="1440" w:gutter="0" w:footer="0" w:header="0"/>
          <w:type w:val="continuous"/>
        </w:sectPr>
      </w:pPr>
    </w:p>
    <w:p>
      <w:pPr>
        <w:spacing w:after="0" w:line="152" w:lineRule="exact"/>
        <w:rPr>
          <w:sz w:val="20"/>
          <w:szCs w:val="20"/>
          <w:color w:val="auto"/>
        </w:rPr>
      </w:pPr>
    </w:p>
    <w:p>
      <w:pPr>
        <w:ind w:left="640" w:right="280"/>
        <w:spacing w:after="0" w:line="253" w:lineRule="auto"/>
        <w:rPr>
          <w:sz w:val="20"/>
          <w:szCs w:val="20"/>
          <w:color w:val="auto"/>
        </w:rPr>
      </w:pPr>
      <w:r>
        <w:rPr>
          <w:rFonts w:ascii="Arial" w:cs="Arial" w:eastAsia="Arial" w:hAnsi="Arial"/>
          <w:sz w:val="18"/>
          <w:szCs w:val="18"/>
          <w:u w:val="single" w:color="auto"/>
          <w:color w:val="202124"/>
        </w:rPr>
        <w:t>If your shares are held in a brokerage account, bank, trust or another nominee as custodian</w:t>
      </w:r>
      <w:r>
        <w:rPr>
          <w:rFonts w:ascii="Arial" w:cs="Arial" w:eastAsia="Arial" w:hAnsi="Arial"/>
          <w:sz w:val="18"/>
          <w:szCs w:val="18"/>
          <w:color w:val="202124"/>
        </w:rPr>
        <w:t>, you are considered the “beneficial owner” of shares and will receive materials and voting instructions directly from your broker, bank, trustee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77</w:t>
            </w:r>
          </w:p>
        </w:tc>
      </w:tr>
    </w:tbl>
    <w:p>
      <w:pPr>
        <w:sectPr>
          <w:pgSz w:w="11900" w:h="16838" w:orient="portrait"/>
          <w:cols w:equalWidth="0" w:num="1">
            <w:col w:w="10360"/>
          </w:cols>
          <w:pgMar w:left="440" w:top="106" w:right="109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180"/>
        <w:spacing w:after="0" w:line="251" w:lineRule="auto"/>
        <w:rPr>
          <w:sz w:val="20"/>
          <w:szCs w:val="20"/>
          <w:color w:val="auto"/>
        </w:rPr>
      </w:pPr>
      <w:r>
        <w:rPr>
          <w:rFonts w:ascii="Arial" w:cs="Arial" w:eastAsia="Arial" w:hAnsi="Arial"/>
          <w:sz w:val="17"/>
          <w:szCs w:val="17"/>
          <w:b w:val="1"/>
          <w:bCs w:val="1"/>
          <w:color w:val="202124"/>
        </w:rPr>
        <w:t xml:space="preserve">During the Meeting: </w:t>
      </w:r>
      <w:r>
        <w:rPr>
          <w:rFonts w:ascii="Arial" w:cs="Arial" w:eastAsia="Arial" w:hAnsi="Arial"/>
          <w:sz w:val="17"/>
          <w:szCs w:val="17"/>
          <w:color w:val="202124"/>
        </w:rPr>
        <w:t>You may vote your shares in-person at the annual meeting. See above for important information</w:t>
      </w:r>
      <w:r>
        <w:rPr>
          <w:rFonts w:ascii="Arial" w:cs="Arial" w:eastAsia="Arial" w:hAnsi="Arial"/>
          <w:sz w:val="17"/>
          <w:szCs w:val="17"/>
          <w:b w:val="1"/>
          <w:bCs w:val="1"/>
          <w:color w:val="202124"/>
        </w:rPr>
        <w:t xml:space="preserve"> </w:t>
      </w:r>
      <w:r>
        <w:rPr>
          <w:rFonts w:ascii="Arial" w:cs="Arial" w:eastAsia="Arial" w:hAnsi="Arial"/>
          <w:sz w:val="17"/>
          <w:szCs w:val="17"/>
          <w:color w:val="202124"/>
        </w:rPr>
        <w:t xml:space="preserve">regarding attendance and admission requirements. Even if you plan to attend the meeting, </w:t>
      </w:r>
      <w:r>
        <w:rPr>
          <w:rFonts w:ascii="Arial" w:cs="Arial" w:eastAsia="Arial" w:hAnsi="Arial"/>
          <w:sz w:val="17"/>
          <w:szCs w:val="17"/>
          <w:u w:val="single" w:color="auto"/>
          <w:color w:val="202124"/>
        </w:rPr>
        <w:t>we recommend that you vote</w:t>
      </w:r>
    </w:p>
    <w:p>
      <w:pPr>
        <w:spacing w:after="0" w:line="1" w:lineRule="exact"/>
        <w:rPr>
          <w:sz w:val="20"/>
          <w:szCs w:val="20"/>
          <w:color w:val="auto"/>
        </w:rPr>
      </w:pPr>
    </w:p>
    <w:p>
      <w:pPr>
        <w:ind w:left="640" w:right="200"/>
        <w:spacing w:after="0" w:line="250" w:lineRule="auto"/>
        <w:rPr>
          <w:sz w:val="20"/>
          <w:szCs w:val="20"/>
          <w:color w:val="auto"/>
        </w:rPr>
      </w:pPr>
      <w:r>
        <w:rPr>
          <w:rFonts w:ascii="Arial" w:cs="Arial" w:eastAsia="Arial" w:hAnsi="Arial"/>
          <w:sz w:val="18"/>
          <w:szCs w:val="18"/>
          <w:u w:val="single" w:color="auto"/>
          <w:color w:val="202124"/>
        </w:rPr>
        <w:t>in advance</w:t>
      </w:r>
      <w:r>
        <w:rPr>
          <w:rFonts w:ascii="Arial" w:cs="Arial" w:eastAsia="Arial" w:hAnsi="Arial"/>
          <w:sz w:val="18"/>
          <w:szCs w:val="18"/>
          <w:color w:val="202124"/>
        </w:rPr>
        <w:t xml:space="preserve"> so that your vote will be counted if you later decide not to attend the meeting or fail to comply with the stated admission requirements.</w:t>
      </w:r>
    </w:p>
    <w:p>
      <w:pPr>
        <w:spacing w:after="0" w:line="50" w:lineRule="exact"/>
        <w:rPr>
          <w:sz w:val="20"/>
          <w:szCs w:val="20"/>
          <w:color w:val="auto"/>
        </w:rPr>
      </w:pPr>
    </w:p>
    <w:p>
      <w:pPr>
        <w:ind w:left="640" w:right="160"/>
        <w:spacing w:after="0" w:line="245" w:lineRule="auto"/>
        <w:rPr>
          <w:sz w:val="20"/>
          <w:szCs w:val="20"/>
          <w:color w:val="auto"/>
        </w:rPr>
      </w:pPr>
      <w:r>
        <w:rPr>
          <w:rFonts w:ascii="Arial" w:cs="Arial" w:eastAsia="Arial" w:hAnsi="Arial"/>
          <w:sz w:val="18"/>
          <w:szCs w:val="18"/>
          <w:b w:val="1"/>
          <w:bCs w:val="1"/>
          <w:color w:val="202124"/>
        </w:rPr>
        <w:t xml:space="preserve">Multiple Notices and Voting Forms: </w:t>
      </w:r>
      <w:r>
        <w:rPr>
          <w:rFonts w:ascii="Arial" w:cs="Arial" w:eastAsia="Arial" w:hAnsi="Arial"/>
          <w:sz w:val="18"/>
          <w:szCs w:val="18"/>
          <w:color w:val="202124"/>
        </w:rPr>
        <w:t>If you hold shares in different formats (e.g. both as a “record holder” and a</w:t>
      </w:r>
      <w:r>
        <w:rPr>
          <w:rFonts w:ascii="Arial" w:cs="Arial" w:eastAsia="Arial" w:hAnsi="Arial"/>
          <w:sz w:val="18"/>
          <w:szCs w:val="18"/>
          <w:b w:val="1"/>
          <w:bCs w:val="1"/>
          <w:color w:val="202124"/>
        </w:rPr>
        <w:t xml:space="preserve"> </w:t>
      </w:r>
      <w:r>
        <w:rPr>
          <w:rFonts w:ascii="Arial" w:cs="Arial" w:eastAsia="Arial" w:hAnsi="Arial"/>
          <w:sz w:val="18"/>
          <w:szCs w:val="18"/>
          <w:color w:val="202124"/>
        </w:rPr>
        <w:t>“beneficial owner”) or in multiple brokerage accounts, you will receive multiple notices or voting instruction forms. Please</w:t>
      </w:r>
    </w:p>
    <w:p>
      <w:pPr>
        <w:ind w:left="640" w:right="200"/>
        <w:spacing w:after="0" w:line="237" w:lineRule="auto"/>
        <w:rPr>
          <w:sz w:val="20"/>
          <w:szCs w:val="20"/>
          <w:color w:val="auto"/>
        </w:rPr>
      </w:pPr>
      <w:r>
        <w:rPr>
          <w:rFonts w:ascii="Arial" w:cs="Arial" w:eastAsia="Arial" w:hAnsi="Arial"/>
          <w:sz w:val="18"/>
          <w:szCs w:val="18"/>
          <w:color w:val="202124"/>
        </w:rPr>
        <w:t>vote the shares represented by each notice, proxy card and/or voting instruction form you receive to ensure that all your shares are voted.</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 xml:space="preserve">HOW VOTES ARE COUNTED. </w:t>
      </w:r>
      <w:r>
        <w:rPr>
          <w:rFonts w:ascii="Arial" w:cs="Arial" w:eastAsia="Arial" w:hAnsi="Arial"/>
          <w:sz w:val="18"/>
          <w:szCs w:val="18"/>
          <w:color w:val="202124"/>
        </w:rPr>
        <w:t>Your shares will be voted as you indicate on your proxy card. If you sign your card without</w:t>
      </w:r>
    </w:p>
    <w:p>
      <w:pPr>
        <w:spacing w:after="0" w:line="14" w:lineRule="exact"/>
        <w:rPr>
          <w:sz w:val="20"/>
          <w:szCs w:val="20"/>
          <w:color w:val="auto"/>
        </w:rPr>
      </w:pPr>
    </w:p>
    <w:p>
      <w:pPr>
        <w:ind w:left="640" w:right="240"/>
        <w:spacing w:after="0"/>
        <w:rPr>
          <w:sz w:val="20"/>
          <w:szCs w:val="20"/>
          <w:color w:val="auto"/>
        </w:rPr>
      </w:pPr>
      <w:r>
        <w:rPr>
          <w:rFonts w:ascii="Arial" w:cs="Arial" w:eastAsia="Arial" w:hAnsi="Arial"/>
          <w:sz w:val="17"/>
          <w:szCs w:val="17"/>
          <w:color w:val="202124"/>
        </w:rPr>
        <w:t xml:space="preserve">indicating how you wish to vote, your shares will be voted </w:t>
      </w:r>
      <w:r>
        <w:rPr>
          <w:rFonts w:ascii="Arial" w:cs="Arial" w:eastAsia="Arial" w:hAnsi="Arial"/>
          <w:sz w:val="17"/>
          <w:szCs w:val="17"/>
          <w:b w:val="1"/>
          <w:bCs w:val="1"/>
          <w:color w:val="202124"/>
        </w:rPr>
        <w:t>FOR</w:t>
      </w:r>
      <w:r>
        <w:rPr>
          <w:rFonts w:ascii="Arial" w:cs="Arial" w:eastAsia="Arial" w:hAnsi="Arial"/>
          <w:sz w:val="17"/>
          <w:szCs w:val="17"/>
          <w:color w:val="202124"/>
        </w:rPr>
        <w:t xml:space="preserve"> our nominees for director, </w:t>
      </w:r>
      <w:r>
        <w:rPr>
          <w:rFonts w:ascii="Arial" w:cs="Arial" w:eastAsia="Arial" w:hAnsi="Arial"/>
          <w:sz w:val="17"/>
          <w:szCs w:val="17"/>
          <w:b w:val="1"/>
          <w:bCs w:val="1"/>
          <w:color w:val="202124"/>
        </w:rPr>
        <w:t>FOR</w:t>
      </w:r>
      <w:r>
        <w:rPr>
          <w:rFonts w:ascii="Arial" w:cs="Arial" w:eastAsia="Arial" w:hAnsi="Arial"/>
          <w:sz w:val="17"/>
          <w:szCs w:val="17"/>
          <w:color w:val="202124"/>
        </w:rPr>
        <w:t xml:space="preserve"> Ernst &amp; Young LLP as independent registered public accounting firm, </w:t>
      </w:r>
      <w:r>
        <w:rPr>
          <w:rFonts w:ascii="Arial" w:cs="Arial" w:eastAsia="Arial" w:hAnsi="Arial"/>
          <w:sz w:val="17"/>
          <w:szCs w:val="17"/>
          <w:b w:val="1"/>
          <w:bCs w:val="1"/>
          <w:color w:val="202124"/>
        </w:rPr>
        <w:t>FOR</w:t>
      </w:r>
      <w:r>
        <w:rPr>
          <w:rFonts w:ascii="Arial" w:cs="Arial" w:eastAsia="Arial" w:hAnsi="Arial"/>
          <w:sz w:val="17"/>
          <w:szCs w:val="17"/>
          <w:color w:val="202124"/>
        </w:rPr>
        <w:t xml:space="preserve"> the advisory vote on executive compensation, </w:t>
      </w:r>
      <w:r>
        <w:rPr>
          <w:rFonts w:ascii="Arial" w:cs="Arial" w:eastAsia="Arial" w:hAnsi="Arial"/>
          <w:sz w:val="17"/>
          <w:szCs w:val="17"/>
          <w:b w:val="1"/>
          <w:bCs w:val="1"/>
          <w:color w:val="202124"/>
        </w:rPr>
        <w:t>FOR</w:t>
      </w:r>
      <w:r>
        <w:rPr>
          <w:rFonts w:ascii="Arial" w:cs="Arial" w:eastAsia="Arial" w:hAnsi="Arial"/>
          <w:sz w:val="17"/>
          <w:szCs w:val="17"/>
          <w:color w:val="202124"/>
        </w:rPr>
        <w:t xml:space="preserve"> approval of our</w:t>
      </w:r>
    </w:p>
    <w:p>
      <w:pPr>
        <w:ind w:left="640"/>
        <w:spacing w:after="0" w:line="235" w:lineRule="auto"/>
        <w:rPr>
          <w:sz w:val="20"/>
          <w:szCs w:val="20"/>
          <w:color w:val="auto"/>
        </w:rPr>
      </w:pPr>
      <w:r>
        <w:rPr>
          <w:rFonts w:ascii="Arial" w:cs="Arial" w:eastAsia="Arial" w:hAnsi="Arial"/>
          <w:sz w:val="18"/>
          <w:szCs w:val="18"/>
          <w:color w:val="202124"/>
        </w:rPr>
        <w:t xml:space="preserve">Ninth Amended and Restated Employee Stock Purchase Plan, </w:t>
      </w:r>
      <w:r>
        <w:rPr>
          <w:rFonts w:ascii="Arial" w:cs="Arial" w:eastAsia="Arial" w:hAnsi="Arial"/>
          <w:sz w:val="18"/>
          <w:szCs w:val="18"/>
          <w:b w:val="1"/>
          <w:bCs w:val="1"/>
          <w:color w:val="202124"/>
        </w:rPr>
        <w:t>FOR</w:t>
      </w:r>
      <w:r>
        <w:rPr>
          <w:rFonts w:ascii="Arial" w:cs="Arial" w:eastAsia="Arial" w:hAnsi="Arial"/>
          <w:sz w:val="18"/>
          <w:szCs w:val="18"/>
          <w:color w:val="202124"/>
        </w:rPr>
        <w:t xml:space="preserve"> approval of our Seventh Amended and Restated</w:t>
      </w:r>
    </w:p>
    <w:p>
      <w:pPr>
        <w:jc w:val="both"/>
        <w:ind w:left="640" w:right="40"/>
        <w:spacing w:after="0" w:line="226" w:lineRule="auto"/>
        <w:rPr>
          <w:sz w:val="20"/>
          <w:szCs w:val="20"/>
          <w:color w:val="auto"/>
        </w:rPr>
      </w:pPr>
      <w:r>
        <w:rPr>
          <w:rFonts w:ascii="Arial" w:cs="Arial" w:eastAsia="Arial" w:hAnsi="Arial"/>
          <w:sz w:val="18"/>
          <w:szCs w:val="18"/>
          <w:color w:val="202124"/>
        </w:rPr>
        <w:t>Executive Stock Purchase Plan and in the proxies’ discretion on any other matter that may properly be brought before the Annual Meeting or any adjournment of the Annual Meeting. The votes will be tabulated and certified by our transfer agent,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Computershare Inc. A representative of Computershare will serve as the inspector of election.</w:t>
      </w:r>
    </w:p>
    <w:p>
      <w:pPr>
        <w:spacing w:after="0" w:line="72" w:lineRule="exact"/>
        <w:rPr>
          <w:sz w:val="20"/>
          <w:szCs w:val="20"/>
          <w:color w:val="auto"/>
        </w:rPr>
      </w:pPr>
    </w:p>
    <w:p>
      <w:pPr>
        <w:ind w:left="640" w:right="420"/>
        <w:spacing w:after="0" w:line="259" w:lineRule="auto"/>
        <w:rPr>
          <w:sz w:val="20"/>
          <w:szCs w:val="20"/>
          <w:color w:val="auto"/>
        </w:rPr>
      </w:pPr>
      <w:r>
        <w:rPr>
          <w:rFonts w:ascii="Arial" w:cs="Arial" w:eastAsia="Arial" w:hAnsi="Arial"/>
          <w:sz w:val="17"/>
          <w:szCs w:val="17"/>
          <w:b w:val="1"/>
          <w:bCs w:val="1"/>
          <w:color w:val="F37F00"/>
        </w:rPr>
        <w:t xml:space="preserve">HOW TO CHANGE YOUR VOTE. </w:t>
      </w:r>
      <w:r>
        <w:rPr>
          <w:rFonts w:ascii="Arial" w:cs="Arial" w:eastAsia="Arial" w:hAnsi="Arial"/>
          <w:sz w:val="17"/>
          <w:szCs w:val="17"/>
          <w:color w:val="202124"/>
        </w:rPr>
        <w:t>You may revoke your proxy at any time before it is voted at the Annual Meeting by</w:t>
      </w:r>
      <w:r>
        <w:rPr>
          <w:rFonts w:ascii="Arial" w:cs="Arial" w:eastAsia="Arial" w:hAnsi="Arial"/>
          <w:sz w:val="17"/>
          <w:szCs w:val="17"/>
          <w:b w:val="1"/>
          <w:bCs w:val="1"/>
          <w:color w:val="F37F00"/>
        </w:rPr>
        <w:t xml:space="preserve"> </w:t>
      </w:r>
      <w:r>
        <w:rPr>
          <w:rFonts w:ascii="Arial" w:cs="Arial" w:eastAsia="Arial" w:hAnsi="Arial"/>
          <w:sz w:val="17"/>
          <w:szCs w:val="17"/>
          <w:color w:val="202124"/>
        </w:rPr>
        <w:t>giving written notice to our Corporate Secretary that you have revoked the proxy, providing a valid later-dated proxy,</w:t>
      </w:r>
    </w:p>
    <w:p>
      <w:pPr>
        <w:spacing w:after="0" w:line="1" w:lineRule="exact"/>
        <w:rPr>
          <w:sz w:val="20"/>
          <w:szCs w:val="20"/>
          <w:color w:val="auto"/>
        </w:rPr>
      </w:pPr>
    </w:p>
    <w:p>
      <w:pPr>
        <w:ind w:left="640" w:right="500"/>
        <w:spacing w:after="0"/>
        <w:rPr>
          <w:sz w:val="20"/>
          <w:szCs w:val="20"/>
          <w:color w:val="auto"/>
        </w:rPr>
      </w:pPr>
      <w:r>
        <w:rPr>
          <w:rFonts w:ascii="Arial" w:cs="Arial" w:eastAsia="Arial" w:hAnsi="Arial"/>
          <w:sz w:val="17"/>
          <w:szCs w:val="17"/>
          <w:color w:val="202124"/>
        </w:rPr>
        <w:t>providing a later-dated vote by telephone or Internet or by voting in person at the Annual Meeting. Any written notice should be sent to the Corporate Secretary at 123 South Front Street, Dept. 8074, Memphis, Tennessee 38103 and</w:t>
      </w:r>
    </w:p>
    <w:p>
      <w:pPr>
        <w:ind w:left="640"/>
        <w:spacing w:after="0" w:line="235" w:lineRule="auto"/>
        <w:rPr>
          <w:sz w:val="20"/>
          <w:szCs w:val="20"/>
          <w:color w:val="auto"/>
        </w:rPr>
      </w:pPr>
      <w:r>
        <w:rPr>
          <w:rFonts w:ascii="Arial" w:cs="Arial" w:eastAsia="Arial" w:hAnsi="Arial"/>
          <w:sz w:val="18"/>
          <w:szCs w:val="18"/>
          <w:color w:val="202124"/>
        </w:rPr>
        <w:t>received no later than 5:00 p.m. Central Time on December 15, 2026. If you are a beneficial owner of shares, you may</w:t>
      </w:r>
    </w:p>
    <w:p>
      <w:pPr>
        <w:ind w:left="640" w:right="420"/>
        <w:spacing w:after="0" w:line="237" w:lineRule="auto"/>
        <w:rPr>
          <w:sz w:val="20"/>
          <w:szCs w:val="20"/>
          <w:color w:val="auto"/>
        </w:rPr>
      </w:pPr>
      <w:r>
        <w:rPr>
          <w:rFonts w:ascii="Arial" w:cs="Arial" w:eastAsia="Arial" w:hAnsi="Arial"/>
          <w:sz w:val="18"/>
          <w:szCs w:val="18"/>
          <w:color w:val="202124"/>
        </w:rPr>
        <w:t>submit new voting instructions by contacting your bank, broker or other holder of record and following the instructions they’ve provided.</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 xml:space="preserve">QUORUM REQUIREMENTS. </w:t>
      </w:r>
      <w:r>
        <w:rPr>
          <w:rFonts w:ascii="Arial" w:cs="Arial" w:eastAsia="Arial" w:hAnsi="Arial"/>
          <w:sz w:val="18"/>
          <w:szCs w:val="18"/>
          <w:color w:val="202124"/>
        </w:rPr>
        <w:t>Holders of a majority of the shares of the voting power of the Company’s common stock</w:t>
      </w:r>
    </w:p>
    <w:p>
      <w:pPr>
        <w:spacing w:after="0" w:line="14"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202124"/>
        </w:rPr>
        <w:t>must be present in person or by proxy in order for a quorum to be present. Shares abstaining from voting and shares as to which a broker non-vote occurs are considered present for purposes of determining whether a quorum exists. If a quorum</w:t>
      </w:r>
    </w:p>
    <w:p>
      <w:pPr>
        <w:ind w:left="640"/>
        <w:spacing w:after="0" w:line="236" w:lineRule="auto"/>
        <w:rPr>
          <w:sz w:val="20"/>
          <w:szCs w:val="20"/>
          <w:color w:val="auto"/>
        </w:rPr>
      </w:pPr>
      <w:r>
        <w:rPr>
          <w:rFonts w:ascii="Arial" w:cs="Arial" w:eastAsia="Arial" w:hAnsi="Arial"/>
          <w:sz w:val="18"/>
          <w:szCs w:val="18"/>
          <w:color w:val="202124"/>
        </w:rPr>
        <w:t>is not present at the scheduled time of the Annual Meeting, we may adjourn the Meeting, without notice other than</w:t>
      </w:r>
    </w:p>
    <w:p>
      <w:pPr>
        <w:spacing w:after="0" w:line="1" w:lineRule="exact"/>
        <w:rPr>
          <w:sz w:val="20"/>
          <w:szCs w:val="20"/>
          <w:color w:val="auto"/>
        </w:rPr>
      </w:pPr>
    </w:p>
    <w:p>
      <w:pPr>
        <w:ind w:left="640" w:right="380"/>
        <w:spacing w:after="0" w:line="237" w:lineRule="auto"/>
        <w:rPr>
          <w:sz w:val="20"/>
          <w:szCs w:val="20"/>
          <w:color w:val="auto"/>
        </w:rPr>
      </w:pPr>
      <w:r>
        <w:rPr>
          <w:rFonts w:ascii="Arial" w:cs="Arial" w:eastAsia="Arial" w:hAnsi="Arial"/>
          <w:sz w:val="18"/>
          <w:szCs w:val="18"/>
          <w:color w:val="202124"/>
        </w:rPr>
        <w:t>announcement at the Annual Meeting, until a quorum is present or represented. Any business which could have been transacted at the Annual Meeting as originally scheduled can be conducted at the adjourned meeting.</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 xml:space="preserve">BROKER NON-VOTES. </w:t>
      </w:r>
      <w:r>
        <w:rPr>
          <w:rFonts w:ascii="Arial" w:cs="Arial" w:eastAsia="Arial" w:hAnsi="Arial"/>
          <w:sz w:val="18"/>
          <w:szCs w:val="18"/>
          <w:color w:val="202124"/>
        </w:rPr>
        <w:t>Broker non-votes occur when shares held by a brokerage firm are not voted with respect to a</w:t>
      </w:r>
    </w:p>
    <w:p>
      <w:pPr>
        <w:spacing w:after="0" w:line="14" w:lineRule="exact"/>
        <w:rPr>
          <w:sz w:val="20"/>
          <w:szCs w:val="20"/>
          <w:color w:val="auto"/>
        </w:rPr>
      </w:pPr>
    </w:p>
    <w:p>
      <w:pPr>
        <w:ind w:left="640" w:right="200"/>
        <w:spacing w:after="0" w:line="237" w:lineRule="auto"/>
        <w:rPr>
          <w:sz w:val="20"/>
          <w:szCs w:val="20"/>
          <w:color w:val="auto"/>
        </w:rPr>
      </w:pPr>
      <w:r>
        <w:rPr>
          <w:rFonts w:ascii="Arial" w:cs="Arial" w:eastAsia="Arial" w:hAnsi="Arial"/>
          <w:sz w:val="18"/>
          <w:szCs w:val="18"/>
          <w:color w:val="202124"/>
        </w:rPr>
        <w:t>proposal because the firm has not received voting instructions from the beneficial owner of the shares and the firm does not have the authority to vote the shares in its discretion.</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37F00"/>
        </w:rPr>
        <w:t xml:space="preserve">MATTERS TO BE VOTED UPON. </w:t>
      </w:r>
      <w:r>
        <w:rPr>
          <w:rFonts w:ascii="Arial" w:cs="Arial" w:eastAsia="Arial" w:hAnsi="Arial"/>
          <w:sz w:val="18"/>
          <w:szCs w:val="18"/>
          <w:color w:val="202124"/>
        </w:rPr>
        <w:t>At the Annual Meeting, shareholders will be asked to vote on the following proposals: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69"/>
        </w:trPr>
        <w:tc>
          <w:tcPr>
            <w:tcW w:w="220" w:type="dxa"/>
            <w:vAlign w:val="bottom"/>
            <w:shd w:val="clear" w:color="auto" w:fill="000000"/>
          </w:tcPr>
          <w:p>
            <w:pPr>
              <w:spacing w:after="0"/>
              <w:rPr>
                <w:sz w:val="23"/>
                <w:szCs w:val="23"/>
                <w:color w:val="auto"/>
              </w:rPr>
            </w:pPr>
          </w:p>
        </w:tc>
        <w:tc>
          <w:tcPr>
            <w:tcW w:w="3820" w:type="dxa"/>
            <w:vAlign w:val="bottom"/>
            <w:vMerge w:val="restart"/>
            <w:shd w:val="clear" w:color="auto" w:fill="000000"/>
          </w:tcPr>
          <w:p>
            <w:pPr>
              <w:ind w:left="1420"/>
              <w:spacing w:after="0"/>
              <w:rPr>
                <w:sz w:val="20"/>
                <w:szCs w:val="20"/>
                <w:color w:val="auto"/>
              </w:rPr>
            </w:pPr>
            <w:r>
              <w:rPr>
                <w:rFonts w:ascii="Arial" w:cs="Arial" w:eastAsia="Arial" w:hAnsi="Arial"/>
                <w:sz w:val="16"/>
                <w:szCs w:val="16"/>
                <w:b w:val="1"/>
                <w:bCs w:val="1"/>
                <w:color w:val="FFFFFF"/>
              </w:rPr>
              <w:t>Proposals</w:t>
            </w:r>
          </w:p>
        </w:tc>
        <w:tc>
          <w:tcPr>
            <w:tcW w:w="15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Board</w:t>
            </w:r>
          </w:p>
        </w:tc>
        <w:tc>
          <w:tcPr>
            <w:tcW w:w="150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Voting Approval</w:t>
            </w:r>
          </w:p>
        </w:tc>
        <w:tc>
          <w:tcPr>
            <w:tcW w:w="128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w w:val="99"/>
              </w:rPr>
              <w:t>Abstentions</w:t>
            </w:r>
          </w:p>
        </w:tc>
        <w:tc>
          <w:tcPr>
            <w:tcW w:w="132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Broker Non-</w:t>
            </w:r>
          </w:p>
        </w:tc>
        <w:tc>
          <w:tcPr>
            <w:tcW w:w="0" w:type="dxa"/>
            <w:vAlign w:val="bottom"/>
          </w:tcPr>
          <w:p>
            <w:pPr>
              <w:spacing w:after="0"/>
              <w:rPr>
                <w:sz w:val="1"/>
                <w:szCs w:val="1"/>
                <w:color w:val="auto"/>
              </w:rPr>
            </w:pPr>
          </w:p>
        </w:tc>
      </w:tr>
      <w:tr>
        <w:trPr>
          <w:trHeight w:val="128"/>
        </w:trPr>
        <w:tc>
          <w:tcPr>
            <w:tcW w:w="220" w:type="dxa"/>
            <w:vAlign w:val="bottom"/>
            <w:shd w:val="clear" w:color="auto" w:fill="000000"/>
          </w:tcPr>
          <w:p>
            <w:pPr>
              <w:spacing w:after="0"/>
              <w:rPr>
                <w:sz w:val="11"/>
                <w:szCs w:val="11"/>
                <w:color w:val="auto"/>
              </w:rPr>
            </w:pPr>
          </w:p>
        </w:tc>
        <w:tc>
          <w:tcPr>
            <w:tcW w:w="3820" w:type="dxa"/>
            <w:vAlign w:val="bottom"/>
            <w:vMerge w:val="continue"/>
            <w:shd w:val="clear" w:color="auto" w:fill="000000"/>
          </w:tcPr>
          <w:p>
            <w:pPr>
              <w:spacing w:after="0"/>
              <w:rPr>
                <w:sz w:val="11"/>
                <w:szCs w:val="11"/>
                <w:color w:val="auto"/>
              </w:rPr>
            </w:pPr>
          </w:p>
        </w:tc>
        <w:tc>
          <w:tcPr>
            <w:tcW w:w="158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Recommendation</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Standard</w:t>
            </w:r>
          </w:p>
        </w:tc>
        <w:tc>
          <w:tcPr>
            <w:tcW w:w="1280" w:type="dxa"/>
            <w:vAlign w:val="bottom"/>
            <w:vMerge w:val="continue"/>
            <w:shd w:val="clear" w:color="auto" w:fill="000000"/>
          </w:tcPr>
          <w:p>
            <w:pPr>
              <w:spacing w:after="0"/>
              <w:rPr>
                <w:sz w:val="11"/>
                <w:szCs w:val="11"/>
                <w:color w:val="auto"/>
              </w:rPr>
            </w:pPr>
          </w:p>
        </w:tc>
        <w:tc>
          <w:tcPr>
            <w:tcW w:w="132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Votes</w:t>
            </w:r>
          </w:p>
        </w:tc>
        <w:tc>
          <w:tcPr>
            <w:tcW w:w="0" w:type="dxa"/>
            <w:vAlign w:val="bottom"/>
          </w:tcPr>
          <w:p>
            <w:pPr>
              <w:spacing w:after="0"/>
              <w:rPr>
                <w:sz w:val="1"/>
                <w:szCs w:val="1"/>
                <w:color w:val="auto"/>
              </w:rPr>
            </w:pPr>
          </w:p>
        </w:tc>
      </w:tr>
      <w:tr>
        <w:trPr>
          <w:trHeight w:val="94"/>
        </w:trPr>
        <w:tc>
          <w:tcPr>
            <w:tcW w:w="220" w:type="dxa"/>
            <w:vAlign w:val="bottom"/>
            <w:shd w:val="clear" w:color="auto" w:fill="000000"/>
          </w:tcPr>
          <w:p>
            <w:pPr>
              <w:spacing w:after="0"/>
              <w:rPr>
                <w:sz w:val="8"/>
                <w:szCs w:val="8"/>
                <w:color w:val="auto"/>
              </w:rPr>
            </w:pPr>
          </w:p>
        </w:tc>
        <w:tc>
          <w:tcPr>
            <w:tcW w:w="3820" w:type="dxa"/>
            <w:vAlign w:val="bottom"/>
            <w:shd w:val="clear" w:color="auto" w:fill="000000"/>
          </w:tcPr>
          <w:p>
            <w:pPr>
              <w:spacing w:after="0"/>
              <w:rPr>
                <w:sz w:val="8"/>
                <w:szCs w:val="8"/>
                <w:color w:val="auto"/>
              </w:rPr>
            </w:pPr>
          </w:p>
        </w:tc>
        <w:tc>
          <w:tcPr>
            <w:tcW w:w="1580" w:type="dxa"/>
            <w:vAlign w:val="bottom"/>
            <w:vMerge w:val="continue"/>
            <w:shd w:val="clear" w:color="auto" w:fill="000000"/>
          </w:tcPr>
          <w:p>
            <w:pPr>
              <w:spacing w:after="0"/>
              <w:rPr>
                <w:sz w:val="8"/>
                <w:szCs w:val="8"/>
                <w:color w:val="auto"/>
              </w:rPr>
            </w:pPr>
          </w:p>
        </w:tc>
        <w:tc>
          <w:tcPr>
            <w:tcW w:w="1500" w:type="dxa"/>
            <w:vAlign w:val="bottom"/>
            <w:vMerge w:val="continue"/>
            <w:shd w:val="clear" w:color="auto" w:fill="000000"/>
          </w:tcPr>
          <w:p>
            <w:pPr>
              <w:spacing w:after="0"/>
              <w:rPr>
                <w:sz w:val="8"/>
                <w:szCs w:val="8"/>
                <w:color w:val="auto"/>
              </w:rPr>
            </w:pPr>
          </w:p>
        </w:tc>
        <w:tc>
          <w:tcPr>
            <w:tcW w:w="1280" w:type="dxa"/>
            <w:vAlign w:val="bottom"/>
            <w:shd w:val="clear" w:color="auto" w:fill="000000"/>
          </w:tcPr>
          <w:p>
            <w:pPr>
              <w:spacing w:after="0"/>
              <w:rPr>
                <w:sz w:val="8"/>
                <w:szCs w:val="8"/>
                <w:color w:val="auto"/>
              </w:rPr>
            </w:pPr>
          </w:p>
        </w:tc>
        <w:tc>
          <w:tcPr>
            <w:tcW w:w="132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20" w:type="dxa"/>
            <w:vAlign w:val="bottom"/>
            <w:shd w:val="clear" w:color="auto" w:fill="000000"/>
          </w:tcPr>
          <w:p>
            <w:pPr>
              <w:spacing w:after="0"/>
              <w:rPr>
                <w:sz w:val="6"/>
                <w:szCs w:val="6"/>
                <w:color w:val="auto"/>
              </w:rPr>
            </w:pPr>
          </w:p>
        </w:tc>
        <w:tc>
          <w:tcPr>
            <w:tcW w:w="3820" w:type="dxa"/>
            <w:vAlign w:val="bottom"/>
            <w:shd w:val="clear" w:color="auto" w:fill="000000"/>
          </w:tcPr>
          <w:p>
            <w:pPr>
              <w:spacing w:after="0"/>
              <w:rPr>
                <w:sz w:val="6"/>
                <w:szCs w:val="6"/>
                <w:color w:val="auto"/>
              </w:rPr>
            </w:pPr>
          </w:p>
        </w:tc>
        <w:tc>
          <w:tcPr>
            <w:tcW w:w="1580" w:type="dxa"/>
            <w:vAlign w:val="bottom"/>
            <w:shd w:val="clear" w:color="auto" w:fill="000000"/>
          </w:tcPr>
          <w:p>
            <w:pPr>
              <w:spacing w:after="0"/>
              <w:rPr>
                <w:sz w:val="6"/>
                <w:szCs w:val="6"/>
                <w:color w:val="auto"/>
              </w:rPr>
            </w:pPr>
          </w:p>
        </w:tc>
        <w:tc>
          <w:tcPr>
            <w:tcW w:w="15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20" w:type="dxa"/>
            <w:vAlign w:val="bottom"/>
          </w:tcPr>
          <w:p>
            <w:pPr>
              <w:jc w:val="right"/>
              <w:spacing w:after="0"/>
              <w:rPr>
                <w:sz w:val="20"/>
                <w:szCs w:val="20"/>
                <w:color w:val="auto"/>
              </w:rPr>
            </w:pPr>
            <w:r>
              <w:rPr>
                <w:rFonts w:ascii="Arial" w:cs="Arial" w:eastAsia="Arial" w:hAnsi="Arial"/>
                <w:sz w:val="18"/>
                <w:szCs w:val="18"/>
                <w:color w:val="202124"/>
                <w:w w:val="92"/>
              </w:rPr>
              <w:t>1.</w:t>
            </w:r>
          </w:p>
        </w:tc>
        <w:tc>
          <w:tcPr>
            <w:tcW w:w="3820" w:type="dxa"/>
            <w:vAlign w:val="bottom"/>
          </w:tcPr>
          <w:p>
            <w:pPr>
              <w:ind w:left="80"/>
              <w:spacing w:after="0"/>
              <w:rPr>
                <w:sz w:val="20"/>
                <w:szCs w:val="20"/>
                <w:color w:val="auto"/>
              </w:rPr>
            </w:pPr>
            <w:r>
              <w:rPr>
                <w:rFonts w:ascii="Arial" w:cs="Arial" w:eastAsia="Arial" w:hAnsi="Arial"/>
                <w:sz w:val="18"/>
                <w:szCs w:val="18"/>
                <w:color w:val="202124"/>
              </w:rPr>
              <w:t>Election of 10 directors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202124"/>
                <w:w w:val="99"/>
              </w:rPr>
              <w:t>FOR</w:t>
            </w:r>
          </w:p>
        </w:tc>
        <w:tc>
          <w:tcPr>
            <w:tcW w:w="1500" w:type="dxa"/>
            <w:vAlign w:val="bottom"/>
          </w:tcPr>
          <w:p>
            <w:pPr>
              <w:jc w:val="center"/>
              <w:spacing w:after="0"/>
              <w:rPr>
                <w:sz w:val="20"/>
                <w:szCs w:val="20"/>
                <w:color w:val="auto"/>
              </w:rPr>
            </w:pPr>
            <w:r>
              <w:rPr>
                <w:rFonts w:ascii="Arial" w:cs="Arial" w:eastAsia="Arial" w:hAnsi="Arial"/>
                <w:sz w:val="18"/>
                <w:szCs w:val="18"/>
                <w:color w:val="202124"/>
              </w:rPr>
              <w:t>More votes For</w:t>
            </w:r>
          </w:p>
        </w:tc>
        <w:tc>
          <w:tcPr>
            <w:tcW w:w="128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132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202124"/>
                <w:w w:val="99"/>
              </w:rPr>
              <w:t>than Against</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2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20" w:type="dxa"/>
            <w:vAlign w:val="bottom"/>
          </w:tcPr>
          <w:p>
            <w:pPr>
              <w:jc w:val="right"/>
              <w:spacing w:after="0"/>
              <w:rPr>
                <w:sz w:val="20"/>
                <w:szCs w:val="20"/>
                <w:color w:val="auto"/>
              </w:rPr>
            </w:pPr>
            <w:r>
              <w:rPr>
                <w:rFonts w:ascii="Arial" w:cs="Arial" w:eastAsia="Arial" w:hAnsi="Arial"/>
                <w:sz w:val="18"/>
                <w:szCs w:val="18"/>
                <w:color w:val="202124"/>
                <w:w w:val="92"/>
              </w:rPr>
              <w:t>2.</w:t>
            </w:r>
          </w:p>
        </w:tc>
        <w:tc>
          <w:tcPr>
            <w:tcW w:w="3820" w:type="dxa"/>
            <w:vAlign w:val="bottom"/>
          </w:tcPr>
          <w:p>
            <w:pPr>
              <w:ind w:left="80"/>
              <w:spacing w:after="0"/>
              <w:rPr>
                <w:sz w:val="20"/>
                <w:szCs w:val="20"/>
                <w:color w:val="auto"/>
              </w:rPr>
            </w:pPr>
            <w:r>
              <w:rPr>
                <w:rFonts w:ascii="Arial" w:cs="Arial" w:eastAsia="Arial" w:hAnsi="Arial"/>
                <w:sz w:val="18"/>
                <w:szCs w:val="18"/>
                <w:color w:val="202124"/>
              </w:rPr>
              <w:t>Ratification of the appointment of Ernst &amp;</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202124"/>
                <w:w w:val="99"/>
              </w:rPr>
              <w:t>FOR</w:t>
            </w:r>
          </w:p>
        </w:tc>
        <w:tc>
          <w:tcPr>
            <w:tcW w:w="1500" w:type="dxa"/>
            <w:vAlign w:val="bottom"/>
          </w:tcPr>
          <w:p>
            <w:pPr>
              <w:jc w:val="center"/>
              <w:spacing w:after="0"/>
              <w:rPr>
                <w:sz w:val="20"/>
                <w:szCs w:val="20"/>
                <w:color w:val="auto"/>
              </w:rPr>
            </w:pPr>
            <w:r>
              <w:rPr>
                <w:rFonts w:ascii="Arial" w:cs="Arial" w:eastAsia="Arial" w:hAnsi="Arial"/>
                <w:sz w:val="18"/>
                <w:szCs w:val="18"/>
                <w:color w:val="202124"/>
              </w:rPr>
              <w:t>More votes For</w:t>
            </w:r>
          </w:p>
        </w:tc>
        <w:tc>
          <w:tcPr>
            <w:tcW w:w="128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132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820" w:type="dxa"/>
            <w:vAlign w:val="bottom"/>
          </w:tcPr>
          <w:p>
            <w:pPr>
              <w:ind w:left="80"/>
              <w:spacing w:after="0" w:line="202" w:lineRule="exact"/>
              <w:rPr>
                <w:sz w:val="20"/>
                <w:szCs w:val="20"/>
                <w:color w:val="auto"/>
              </w:rPr>
            </w:pPr>
            <w:r>
              <w:rPr>
                <w:rFonts w:ascii="Arial" w:cs="Arial" w:eastAsia="Arial" w:hAnsi="Arial"/>
                <w:sz w:val="18"/>
                <w:szCs w:val="18"/>
                <w:color w:val="202124"/>
              </w:rPr>
              <w:t>Young LLP as our independent registered</w:t>
            </w:r>
          </w:p>
        </w:tc>
        <w:tc>
          <w:tcPr>
            <w:tcW w:w="158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202124"/>
                <w:w w:val="99"/>
              </w:rPr>
              <w:t>than Against</w:t>
            </w: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202124"/>
              </w:rPr>
              <w:t>public accounting firm for the 2027 fiscal year</w:t>
            </w: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20" w:type="dxa"/>
            <w:vAlign w:val="bottom"/>
            <w:tcBorders>
              <w:bottom w:val="single" w:sz="8" w:color="808080"/>
            </w:tcBorders>
          </w:tcPr>
          <w:p>
            <w:pPr>
              <w:spacing w:after="0"/>
              <w:rPr>
                <w:sz w:val="13"/>
                <w:szCs w:val="13"/>
                <w:color w:val="auto"/>
              </w:rPr>
            </w:pPr>
          </w:p>
        </w:tc>
        <w:tc>
          <w:tcPr>
            <w:tcW w:w="382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150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c>
          <w:tcPr>
            <w:tcW w:w="1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20" w:type="dxa"/>
            <w:vAlign w:val="bottom"/>
          </w:tcPr>
          <w:p>
            <w:pPr>
              <w:jc w:val="right"/>
              <w:spacing w:after="0"/>
              <w:rPr>
                <w:sz w:val="20"/>
                <w:szCs w:val="20"/>
                <w:color w:val="auto"/>
              </w:rPr>
            </w:pPr>
            <w:r>
              <w:rPr>
                <w:rFonts w:ascii="Arial" w:cs="Arial" w:eastAsia="Arial" w:hAnsi="Arial"/>
                <w:sz w:val="18"/>
                <w:szCs w:val="18"/>
                <w:color w:val="202124"/>
                <w:w w:val="92"/>
              </w:rPr>
              <w:t>3.</w:t>
            </w:r>
          </w:p>
        </w:tc>
        <w:tc>
          <w:tcPr>
            <w:tcW w:w="3820" w:type="dxa"/>
            <w:vAlign w:val="bottom"/>
          </w:tcPr>
          <w:p>
            <w:pPr>
              <w:ind w:left="80"/>
              <w:spacing w:after="0"/>
              <w:rPr>
                <w:sz w:val="20"/>
                <w:szCs w:val="20"/>
                <w:color w:val="auto"/>
              </w:rPr>
            </w:pPr>
            <w:r>
              <w:rPr>
                <w:rFonts w:ascii="Arial" w:cs="Arial" w:eastAsia="Arial" w:hAnsi="Arial"/>
                <w:sz w:val="18"/>
                <w:szCs w:val="18"/>
                <w:color w:val="202124"/>
              </w:rPr>
              <w:t>Approval of an advisory vote on the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202124"/>
                <w:w w:val="99"/>
              </w:rPr>
              <w:t>FOR</w:t>
            </w:r>
          </w:p>
        </w:tc>
        <w:tc>
          <w:tcPr>
            <w:tcW w:w="1500" w:type="dxa"/>
            <w:vAlign w:val="bottom"/>
          </w:tcPr>
          <w:p>
            <w:pPr>
              <w:jc w:val="center"/>
              <w:spacing w:after="0"/>
              <w:rPr>
                <w:sz w:val="20"/>
                <w:szCs w:val="20"/>
                <w:color w:val="auto"/>
              </w:rPr>
            </w:pPr>
            <w:r>
              <w:rPr>
                <w:rFonts w:ascii="Arial" w:cs="Arial" w:eastAsia="Arial" w:hAnsi="Arial"/>
                <w:sz w:val="18"/>
                <w:szCs w:val="18"/>
                <w:color w:val="202124"/>
              </w:rPr>
              <w:t>More votes For</w:t>
            </w:r>
          </w:p>
        </w:tc>
        <w:tc>
          <w:tcPr>
            <w:tcW w:w="128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132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820" w:type="dxa"/>
            <w:vAlign w:val="bottom"/>
          </w:tcPr>
          <w:p>
            <w:pPr>
              <w:ind w:left="80"/>
              <w:spacing w:after="0" w:line="202" w:lineRule="exact"/>
              <w:rPr>
                <w:sz w:val="20"/>
                <w:szCs w:val="20"/>
                <w:color w:val="auto"/>
              </w:rPr>
            </w:pPr>
            <w:r>
              <w:rPr>
                <w:rFonts w:ascii="Arial" w:cs="Arial" w:eastAsia="Arial" w:hAnsi="Arial"/>
                <w:sz w:val="18"/>
                <w:szCs w:val="18"/>
                <w:color w:val="202124"/>
              </w:rPr>
              <w:t>compensation of our named executive</w:t>
            </w:r>
          </w:p>
        </w:tc>
        <w:tc>
          <w:tcPr>
            <w:tcW w:w="158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202124"/>
                <w:w w:val="99"/>
              </w:rPr>
              <w:t>than Against</w:t>
            </w: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202124"/>
              </w:rPr>
              <w:t>officers.</w:t>
            </w: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20" w:type="dxa"/>
            <w:vAlign w:val="bottom"/>
            <w:tcBorders>
              <w:bottom w:val="single" w:sz="8" w:color="808080"/>
            </w:tcBorders>
          </w:tcPr>
          <w:p>
            <w:pPr>
              <w:spacing w:after="0"/>
              <w:rPr>
                <w:sz w:val="13"/>
                <w:szCs w:val="13"/>
                <w:color w:val="auto"/>
              </w:rPr>
            </w:pPr>
          </w:p>
        </w:tc>
        <w:tc>
          <w:tcPr>
            <w:tcW w:w="382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150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c>
          <w:tcPr>
            <w:tcW w:w="1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20" w:type="dxa"/>
            <w:vAlign w:val="bottom"/>
          </w:tcPr>
          <w:p>
            <w:pPr>
              <w:jc w:val="right"/>
              <w:spacing w:after="0"/>
              <w:rPr>
                <w:sz w:val="20"/>
                <w:szCs w:val="20"/>
                <w:color w:val="auto"/>
              </w:rPr>
            </w:pPr>
            <w:r>
              <w:rPr>
                <w:rFonts w:ascii="Arial" w:cs="Arial" w:eastAsia="Arial" w:hAnsi="Arial"/>
                <w:sz w:val="18"/>
                <w:szCs w:val="18"/>
                <w:color w:val="202124"/>
                <w:w w:val="92"/>
              </w:rPr>
              <w:t>4.</w:t>
            </w:r>
          </w:p>
        </w:tc>
        <w:tc>
          <w:tcPr>
            <w:tcW w:w="3820" w:type="dxa"/>
            <w:vAlign w:val="bottom"/>
          </w:tcPr>
          <w:p>
            <w:pPr>
              <w:ind w:left="80"/>
              <w:spacing w:after="0"/>
              <w:rPr>
                <w:sz w:val="20"/>
                <w:szCs w:val="20"/>
                <w:color w:val="auto"/>
              </w:rPr>
            </w:pPr>
            <w:r>
              <w:rPr>
                <w:rFonts w:ascii="Arial" w:cs="Arial" w:eastAsia="Arial" w:hAnsi="Arial"/>
                <w:sz w:val="18"/>
                <w:szCs w:val="18"/>
                <w:color w:val="202124"/>
              </w:rPr>
              <w:t>Approval of AutoZone’s Ninth Amended and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202124"/>
                <w:w w:val="99"/>
              </w:rPr>
              <w:t>FOR</w:t>
            </w:r>
          </w:p>
        </w:tc>
        <w:tc>
          <w:tcPr>
            <w:tcW w:w="1500" w:type="dxa"/>
            <w:vAlign w:val="bottom"/>
          </w:tcPr>
          <w:p>
            <w:pPr>
              <w:jc w:val="center"/>
              <w:spacing w:after="0"/>
              <w:rPr>
                <w:sz w:val="20"/>
                <w:szCs w:val="20"/>
                <w:color w:val="auto"/>
              </w:rPr>
            </w:pPr>
            <w:r>
              <w:rPr>
                <w:rFonts w:ascii="Arial" w:cs="Arial" w:eastAsia="Arial" w:hAnsi="Arial"/>
                <w:sz w:val="18"/>
                <w:szCs w:val="18"/>
                <w:color w:val="202124"/>
              </w:rPr>
              <w:t>More votes For</w:t>
            </w:r>
          </w:p>
        </w:tc>
        <w:tc>
          <w:tcPr>
            <w:tcW w:w="128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132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202124"/>
              </w:rPr>
              <w:t>Restated Employee Stock Purchase Plan</w:t>
            </w:r>
          </w:p>
        </w:tc>
        <w:tc>
          <w:tcPr>
            <w:tcW w:w="15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202124"/>
                <w:w w:val="99"/>
              </w:rPr>
              <w:t>than Against</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2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20" w:type="dxa"/>
            <w:vAlign w:val="bottom"/>
          </w:tcPr>
          <w:p>
            <w:pPr>
              <w:jc w:val="right"/>
              <w:spacing w:after="0"/>
              <w:rPr>
                <w:sz w:val="20"/>
                <w:szCs w:val="20"/>
                <w:color w:val="auto"/>
              </w:rPr>
            </w:pPr>
            <w:r>
              <w:rPr>
                <w:rFonts w:ascii="Arial" w:cs="Arial" w:eastAsia="Arial" w:hAnsi="Arial"/>
                <w:sz w:val="18"/>
                <w:szCs w:val="18"/>
                <w:color w:val="202124"/>
                <w:w w:val="92"/>
              </w:rPr>
              <w:t>5.</w:t>
            </w:r>
          </w:p>
        </w:tc>
        <w:tc>
          <w:tcPr>
            <w:tcW w:w="3820" w:type="dxa"/>
            <w:vAlign w:val="bottom"/>
          </w:tcPr>
          <w:p>
            <w:pPr>
              <w:ind w:left="80"/>
              <w:spacing w:after="0"/>
              <w:rPr>
                <w:sz w:val="20"/>
                <w:szCs w:val="20"/>
                <w:color w:val="auto"/>
              </w:rPr>
            </w:pPr>
            <w:r>
              <w:rPr>
                <w:rFonts w:ascii="Arial" w:cs="Arial" w:eastAsia="Arial" w:hAnsi="Arial"/>
                <w:sz w:val="18"/>
                <w:szCs w:val="18"/>
                <w:color w:val="202124"/>
              </w:rPr>
              <w:t>Approval of AutoZone’s Seventh Amended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202124"/>
                <w:w w:val="99"/>
              </w:rPr>
              <w:t>FOR</w:t>
            </w:r>
          </w:p>
        </w:tc>
        <w:tc>
          <w:tcPr>
            <w:tcW w:w="1500" w:type="dxa"/>
            <w:vAlign w:val="bottom"/>
          </w:tcPr>
          <w:p>
            <w:pPr>
              <w:jc w:val="center"/>
              <w:spacing w:after="0"/>
              <w:rPr>
                <w:sz w:val="20"/>
                <w:szCs w:val="20"/>
                <w:color w:val="auto"/>
              </w:rPr>
            </w:pPr>
            <w:r>
              <w:rPr>
                <w:rFonts w:ascii="Arial" w:cs="Arial" w:eastAsia="Arial" w:hAnsi="Arial"/>
                <w:sz w:val="18"/>
                <w:szCs w:val="18"/>
                <w:color w:val="202124"/>
              </w:rPr>
              <w:t>More votes For</w:t>
            </w:r>
          </w:p>
        </w:tc>
        <w:tc>
          <w:tcPr>
            <w:tcW w:w="128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1320" w:type="dxa"/>
            <w:vAlign w:val="bottom"/>
          </w:tcPr>
          <w:p>
            <w:pPr>
              <w:jc w:val="center"/>
              <w:spacing w:after="0"/>
              <w:rPr>
                <w:sz w:val="20"/>
                <w:szCs w:val="20"/>
                <w:color w:val="auto"/>
              </w:rPr>
            </w:pPr>
            <w:r>
              <w:rPr>
                <w:rFonts w:ascii="Arial" w:cs="Arial" w:eastAsia="Arial" w:hAnsi="Arial"/>
                <w:sz w:val="18"/>
                <w:szCs w:val="18"/>
                <w:color w:val="202124"/>
                <w:w w:val="99"/>
              </w:rPr>
              <w:t>No effect</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202124"/>
              </w:rPr>
              <w:t>and Restated Executive Stock Purchase Plan</w:t>
            </w:r>
          </w:p>
        </w:tc>
        <w:tc>
          <w:tcPr>
            <w:tcW w:w="15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202124"/>
                <w:w w:val="99"/>
              </w:rPr>
              <w:t>than Against</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2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78   </w:t>
      </w:r>
      <w:r>
        <w:rPr>
          <w:sz w:val="1"/>
          <w:szCs w:val="1"/>
          <w:color w:val="auto"/>
        </w:rPr>
        <w:drawing>
          <wp:inline distT="0" distB="0" distL="0" distR="0">
            <wp:extent cx="1165860" cy="137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81" w:name="page82"/>
    <w:bookmarkEnd w:id="8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Stockholders also will transact any other business that may be properly brought before the Annual Meeting.</w:t>
      </w:r>
    </w:p>
    <w:p>
      <w:pPr>
        <w:spacing w:after="0" w:line="171" w:lineRule="exact"/>
        <w:rPr>
          <w:sz w:val="20"/>
          <w:szCs w:val="20"/>
          <w:color w:val="auto"/>
        </w:rPr>
      </w:pPr>
    </w:p>
    <w:p>
      <w:pPr>
        <w:ind w:left="640" w:right="340"/>
        <w:spacing w:after="0" w:line="244" w:lineRule="auto"/>
        <w:rPr>
          <w:sz w:val="20"/>
          <w:szCs w:val="20"/>
          <w:color w:val="auto"/>
        </w:rPr>
      </w:pPr>
      <w:r>
        <w:rPr>
          <w:rFonts w:ascii="Arial" w:cs="Arial" w:eastAsia="Arial" w:hAnsi="Arial"/>
          <w:sz w:val="18"/>
          <w:szCs w:val="18"/>
          <w:b w:val="1"/>
          <w:bCs w:val="1"/>
          <w:color w:val="F37F00"/>
        </w:rPr>
        <w:t xml:space="preserve">ANNUAL REPORT. </w:t>
      </w:r>
      <w:r>
        <w:rPr>
          <w:rFonts w:ascii="Arial" w:cs="Arial" w:eastAsia="Arial" w:hAnsi="Arial"/>
          <w:sz w:val="18"/>
          <w:szCs w:val="18"/>
          <w:color w:val="202124"/>
        </w:rPr>
        <w:t>A copy of our FY26 Form 10-K has been posted online, along with this Proxy Statement, each of</w:t>
      </w:r>
      <w:r>
        <w:rPr>
          <w:rFonts w:ascii="Arial" w:cs="Arial" w:eastAsia="Arial" w:hAnsi="Arial"/>
          <w:sz w:val="18"/>
          <w:szCs w:val="18"/>
          <w:b w:val="1"/>
          <w:bCs w:val="1"/>
          <w:color w:val="F37F00"/>
        </w:rPr>
        <w:t xml:space="preserve"> </w:t>
      </w:r>
      <w:r>
        <w:rPr>
          <w:rFonts w:ascii="Arial" w:cs="Arial" w:eastAsia="Arial" w:hAnsi="Arial"/>
          <w:sz w:val="18"/>
          <w:szCs w:val="18"/>
          <w:color w:val="202124"/>
        </w:rPr>
        <w:t>which is accessible by following the instructions in the Notice. The FY26 Form 10-K is not incorporated into this Proxy Statement and is not considered proxy-soliciting materials. We filed our FY26 Form 10-K with the SEC on October 26, 2026 and will mail, without charge, a copy of such report, without exhibits to those who make a written request to our Secretary at 123 South Front Street, Dept. 8074, Memphis, Tennessee 38103.</w:t>
      </w:r>
    </w:p>
    <w:p>
      <w:pPr>
        <w:spacing w:after="0" w:line="136" w:lineRule="exact"/>
        <w:rPr>
          <w:sz w:val="20"/>
          <w:szCs w:val="20"/>
          <w:color w:val="auto"/>
        </w:rPr>
      </w:pPr>
    </w:p>
    <w:p>
      <w:pPr>
        <w:ind w:left="640"/>
        <w:spacing w:after="0" w:line="242" w:lineRule="auto"/>
        <w:rPr>
          <w:sz w:val="20"/>
          <w:szCs w:val="20"/>
          <w:color w:val="auto"/>
        </w:rPr>
      </w:pPr>
      <w:r>
        <w:rPr>
          <w:rFonts w:ascii="Arial" w:cs="Arial" w:eastAsia="Arial" w:hAnsi="Arial"/>
          <w:sz w:val="18"/>
          <w:szCs w:val="18"/>
          <w:b w:val="1"/>
          <w:bCs w:val="1"/>
          <w:color w:val="F37F00"/>
        </w:rPr>
        <w:t xml:space="preserve">REVIEWING PROXY MATERIALS ONLINE. </w:t>
      </w:r>
      <w:r>
        <w:rPr>
          <w:rFonts w:ascii="Arial" w:cs="Arial" w:eastAsia="Arial" w:hAnsi="Arial"/>
          <w:sz w:val="18"/>
          <w:szCs w:val="18"/>
          <w:color w:val="202124"/>
        </w:rPr>
        <w:t>The rules of the SEC allow us to furnish proxy materials to our stockholders</w:t>
      </w:r>
      <w:r>
        <w:rPr>
          <w:rFonts w:ascii="Arial" w:cs="Arial" w:eastAsia="Arial" w:hAnsi="Arial"/>
          <w:sz w:val="18"/>
          <w:szCs w:val="18"/>
          <w:b w:val="1"/>
          <w:bCs w:val="1"/>
          <w:color w:val="F37F00"/>
        </w:rPr>
        <w:t xml:space="preserve"> </w:t>
      </w:r>
      <w:r>
        <w:rPr>
          <w:rFonts w:ascii="Arial" w:cs="Arial" w:eastAsia="Arial" w:hAnsi="Arial"/>
          <w:sz w:val="18"/>
          <w:szCs w:val="18"/>
          <w:color w:val="202124"/>
        </w:rPr>
        <w:t>on the Internet. We are pleased to take advantage of these rules and believe that they enable us to provide our stockholders with the information that they need, while lowering the cost of delivery and reducing the environmental impact of our Annual Meeting. Accordingly, this Proxy Statement and our annual report to security holders are available on our website on the Investor Relations page of our website at www.autozone.com. Additionally, you may access our proxy materials at www.envisionreports.com/AZO.</w:t>
      </w:r>
    </w:p>
    <w:p>
      <w:pPr>
        <w:spacing w:after="0" w:line="152" w:lineRule="exact"/>
        <w:rPr>
          <w:sz w:val="20"/>
          <w:szCs w:val="20"/>
          <w:color w:val="auto"/>
        </w:rPr>
      </w:pPr>
    </w:p>
    <w:p>
      <w:pPr>
        <w:ind w:left="640" w:right="300"/>
        <w:spacing w:after="0" w:line="247" w:lineRule="auto"/>
        <w:rPr>
          <w:sz w:val="20"/>
          <w:szCs w:val="20"/>
          <w:color w:val="auto"/>
        </w:rPr>
      </w:pPr>
      <w:r>
        <w:rPr>
          <w:rFonts w:ascii="Arial" w:cs="Arial" w:eastAsia="Arial" w:hAnsi="Arial"/>
          <w:sz w:val="18"/>
          <w:szCs w:val="18"/>
          <w:b w:val="1"/>
          <w:bCs w:val="1"/>
          <w:color w:val="F37F00"/>
        </w:rPr>
        <w:t xml:space="preserve">REQUESTING A PRINTED COPY OF PROXY MATERIALS. </w:t>
      </w:r>
      <w:r>
        <w:rPr>
          <w:rFonts w:ascii="Arial" w:cs="Arial" w:eastAsia="Arial" w:hAnsi="Arial"/>
          <w:sz w:val="18"/>
          <w:szCs w:val="18"/>
          <w:color w:val="202124"/>
        </w:rPr>
        <w:t>If you received a Notice by mail, you will not receive a</w:t>
      </w:r>
      <w:r>
        <w:rPr>
          <w:rFonts w:ascii="Arial" w:cs="Arial" w:eastAsia="Arial" w:hAnsi="Arial"/>
          <w:sz w:val="18"/>
          <w:szCs w:val="18"/>
          <w:b w:val="1"/>
          <w:bCs w:val="1"/>
          <w:color w:val="F37F00"/>
        </w:rPr>
        <w:t xml:space="preserve"> </w:t>
      </w:r>
      <w:r>
        <w:rPr>
          <w:rFonts w:ascii="Arial" w:cs="Arial" w:eastAsia="Arial" w:hAnsi="Arial"/>
          <w:sz w:val="18"/>
          <w:szCs w:val="18"/>
          <w:color w:val="202124"/>
        </w:rPr>
        <w:t>printed copy of the proxy materials unless you request one. The Notice will instruct you as to how you may obtain a printed copy of our proxy materials at no charge. All requests for printed copies of proxy materials must be received by December 9, 2026.</w:t>
      </w:r>
    </w:p>
    <w:p>
      <w:pPr>
        <w:spacing w:after="0" w:line="133" w:lineRule="exact"/>
        <w:rPr>
          <w:sz w:val="20"/>
          <w:szCs w:val="20"/>
          <w:color w:val="auto"/>
        </w:rPr>
      </w:pPr>
    </w:p>
    <w:p>
      <w:pPr>
        <w:ind w:left="640" w:right="20"/>
        <w:spacing w:after="0" w:line="247" w:lineRule="auto"/>
        <w:rPr>
          <w:sz w:val="20"/>
          <w:szCs w:val="20"/>
          <w:color w:val="auto"/>
        </w:rPr>
      </w:pPr>
      <w:r>
        <w:rPr>
          <w:rFonts w:ascii="Arial" w:cs="Arial" w:eastAsia="Arial" w:hAnsi="Arial"/>
          <w:sz w:val="18"/>
          <w:szCs w:val="18"/>
          <w:b w:val="1"/>
          <w:bCs w:val="1"/>
          <w:color w:val="F37F00"/>
        </w:rPr>
        <w:t xml:space="preserve">COSTS OF SOLICITATION. </w:t>
      </w:r>
      <w:r>
        <w:rPr>
          <w:rFonts w:ascii="Arial" w:cs="Arial" w:eastAsia="Arial" w:hAnsi="Arial"/>
          <w:sz w:val="18"/>
          <w:szCs w:val="18"/>
          <w:color w:val="202124"/>
        </w:rPr>
        <w:t>AutoZone will pay all expenses incurred in this proxy solicitation. We also may make</w:t>
      </w:r>
      <w:r>
        <w:rPr>
          <w:rFonts w:ascii="Arial" w:cs="Arial" w:eastAsia="Arial" w:hAnsi="Arial"/>
          <w:sz w:val="18"/>
          <w:szCs w:val="18"/>
          <w:b w:val="1"/>
          <w:bCs w:val="1"/>
          <w:color w:val="F37F00"/>
        </w:rPr>
        <w:t xml:space="preserve"> </w:t>
      </w:r>
      <w:r>
        <w:rPr>
          <w:rFonts w:ascii="Arial" w:cs="Arial" w:eastAsia="Arial" w:hAnsi="Arial"/>
          <w:sz w:val="18"/>
          <w:szCs w:val="18"/>
          <w:color w:val="202124"/>
        </w:rPr>
        <w:t>additional solicitations in person, by telephone, facsimile, e-mail, or other forms of communication. Brokers, banks, and others who hold our stock for beneficial owners will be reimbursed by us for their expenses related to forwarding our proxy materials to the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202124"/>
              </w:rPr>
              <w:t>79</w:t>
            </w:r>
          </w:p>
        </w:tc>
      </w:tr>
    </w:tbl>
    <w:p>
      <w:pPr>
        <w:sectPr>
          <w:pgSz w:w="11900" w:h="16838" w:orient="portrait"/>
          <w:cols w:equalWidth="0" w:num="1">
            <w:col w:w="10360"/>
          </w:cols>
          <w:pgMar w:left="440" w:top="106" w:right="1099" w:bottom="1440" w:gutter="0" w:footer="0" w:header="0"/>
        </w:sectPr>
      </w:pPr>
    </w:p>
    <w:bookmarkStart w:id="82" w:name="page83"/>
    <w:bookmarkEnd w:id="8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43"/>
          <w:szCs w:val="43"/>
          <w:b w:val="1"/>
          <w:bCs w:val="1"/>
          <w:color w:val="F37F00"/>
        </w:rPr>
        <w:t>The 2027 Annual Meeting</w:t>
      </w:r>
    </w:p>
    <w:p>
      <w:pPr>
        <w:spacing w:after="0" w:line="111" w:lineRule="exact"/>
        <w:rPr>
          <w:sz w:val="20"/>
          <w:szCs w:val="20"/>
          <w:color w:val="auto"/>
        </w:rPr>
      </w:pPr>
    </w:p>
    <w:p>
      <w:pPr>
        <w:ind w:left="640" w:right="120"/>
        <w:spacing w:after="0" w:line="244" w:lineRule="auto"/>
        <w:rPr>
          <w:sz w:val="20"/>
          <w:szCs w:val="20"/>
          <w:color w:val="auto"/>
        </w:rPr>
      </w:pPr>
      <w:r>
        <w:rPr>
          <w:rFonts w:ascii="Arial" w:cs="Arial" w:eastAsia="Arial" w:hAnsi="Arial"/>
          <w:sz w:val="18"/>
          <w:szCs w:val="18"/>
          <w:color w:val="202124"/>
        </w:rPr>
        <w:t>Stockholder proposals and director nominations for consideration at the 2027 Annual Meeting of Stockholders (the “2027 Annual Meeting”) must be submitted in writing and mailed to AutoZone, Inc., Attention: Secretary, Post Office Box 2198, Dept. 8074, Memphis, Tennessee 38101-2198. The information provided below is a summary. Additional detail as to requirements and other related matters can be found in our By-Laws and/or certain rules adopted by the SEC, as applicable.</w:t>
      </w:r>
    </w:p>
    <w:p>
      <w:pPr>
        <w:spacing w:after="0" w:line="149" w:lineRule="exact"/>
        <w:rPr>
          <w:sz w:val="20"/>
          <w:szCs w:val="20"/>
          <w:color w:val="auto"/>
        </w:rPr>
      </w:pPr>
    </w:p>
    <w:p>
      <w:pPr>
        <w:ind w:left="640"/>
        <w:spacing w:after="0" w:line="247" w:lineRule="auto"/>
        <w:rPr>
          <w:sz w:val="20"/>
          <w:szCs w:val="20"/>
          <w:color w:val="auto"/>
        </w:rPr>
      </w:pPr>
      <w:r>
        <w:rPr>
          <w:rFonts w:ascii="Arial" w:cs="Arial" w:eastAsia="Arial" w:hAnsi="Arial"/>
          <w:sz w:val="18"/>
          <w:szCs w:val="18"/>
          <w:b w:val="1"/>
          <w:bCs w:val="1"/>
          <w:color w:val="202124"/>
        </w:rPr>
        <w:t xml:space="preserve">Stockholder Proposals for Inclusion in Proxy Statement. </w:t>
      </w:r>
      <w:r>
        <w:rPr>
          <w:rFonts w:ascii="Arial" w:cs="Arial" w:eastAsia="Arial" w:hAnsi="Arial"/>
          <w:sz w:val="18"/>
          <w:szCs w:val="18"/>
          <w:color w:val="202124"/>
        </w:rPr>
        <w:t>In order to propose an item of business to be considered for</w:t>
      </w:r>
      <w:r>
        <w:rPr>
          <w:rFonts w:ascii="Arial" w:cs="Arial" w:eastAsia="Arial" w:hAnsi="Arial"/>
          <w:sz w:val="18"/>
          <w:szCs w:val="18"/>
          <w:b w:val="1"/>
          <w:bCs w:val="1"/>
          <w:color w:val="202124"/>
        </w:rPr>
        <w:t xml:space="preserve"> </w:t>
      </w:r>
      <w:r>
        <w:rPr>
          <w:rFonts w:ascii="Arial" w:cs="Arial" w:eastAsia="Arial" w:hAnsi="Arial"/>
          <w:sz w:val="18"/>
          <w:szCs w:val="18"/>
          <w:color w:val="202124"/>
        </w:rPr>
        <w:t>inclusion in our proxy materials relating to the 2027 Annual Meeting, eligible stockholders must submit proposals that comply with Rule 14a-8 under the Exchange Act. Such proposal must be received by our Corporate Secretary by June 29, 2027.</w:t>
      </w:r>
    </w:p>
    <w:p>
      <w:pPr>
        <w:spacing w:after="0" w:line="133" w:lineRule="exact"/>
        <w:rPr>
          <w:sz w:val="20"/>
          <w:szCs w:val="20"/>
          <w:color w:val="auto"/>
        </w:rPr>
      </w:pPr>
    </w:p>
    <w:p>
      <w:pPr>
        <w:ind w:left="640" w:right="20"/>
        <w:spacing w:after="0" w:line="239" w:lineRule="auto"/>
        <w:rPr>
          <w:sz w:val="20"/>
          <w:szCs w:val="20"/>
          <w:color w:val="auto"/>
        </w:rPr>
      </w:pPr>
      <w:r>
        <w:rPr>
          <w:rFonts w:ascii="Arial" w:cs="Arial" w:eastAsia="Arial" w:hAnsi="Arial"/>
          <w:sz w:val="18"/>
          <w:szCs w:val="18"/>
          <w:b w:val="1"/>
          <w:bCs w:val="1"/>
          <w:color w:val="202124"/>
        </w:rPr>
        <w:t xml:space="preserve">Director Nominations for Inclusion in the Proxy Statement. </w:t>
      </w:r>
      <w:r>
        <w:rPr>
          <w:rFonts w:ascii="Arial" w:cs="Arial" w:eastAsia="Arial" w:hAnsi="Arial"/>
          <w:sz w:val="18"/>
          <w:szCs w:val="18"/>
          <w:color w:val="202124"/>
        </w:rPr>
        <w:t>In order to nominate a director candidate for inclusion in</w:t>
      </w:r>
      <w:r>
        <w:rPr>
          <w:rFonts w:ascii="Arial" w:cs="Arial" w:eastAsia="Arial" w:hAnsi="Arial"/>
          <w:sz w:val="18"/>
          <w:szCs w:val="18"/>
          <w:b w:val="1"/>
          <w:bCs w:val="1"/>
          <w:color w:val="202124"/>
        </w:rPr>
        <w:t xml:space="preserve"> </w:t>
      </w:r>
      <w:r>
        <w:rPr>
          <w:rFonts w:ascii="Arial" w:cs="Arial" w:eastAsia="Arial" w:hAnsi="Arial"/>
          <w:sz w:val="18"/>
          <w:szCs w:val="18"/>
          <w:color w:val="202124"/>
        </w:rPr>
        <w:t>our proxy statement relating to the 2027 Annual Meeting, a stockholder or group of stockholders must comply with the “proxy access” provision set forth in Article II, Section 10 of AutoZone’s By-Laws. This section provides that an individual eligible stockholder, or group of up to 20 eligible stockholders, must own 3% or more of AutoZone’s outstanding common stock continuously for at least the previous three years, and may nominate up to the greater of two individuals or 20% of the Board for inclusion in our proxy statement. Requests to include stockholder-nominated director candidates in our 2027 Proxy Statement must be received by our Corporate Secretary not earlier than August 18, 2027, and not later than September 17, 2026. The nominating stockholder(s) must provide certain information and meet the other specific requirements of our By-Laws, and each nominee must meet the qualifications required by our By-Laws.</w:t>
      </w:r>
    </w:p>
    <w:p>
      <w:pPr>
        <w:spacing w:after="0" w:line="143" w:lineRule="exact"/>
        <w:rPr>
          <w:sz w:val="20"/>
          <w:szCs w:val="20"/>
          <w:color w:val="auto"/>
        </w:rPr>
      </w:pPr>
    </w:p>
    <w:p>
      <w:pPr>
        <w:ind w:left="640" w:right="220"/>
        <w:spacing w:after="0" w:line="247" w:lineRule="auto"/>
        <w:rPr>
          <w:sz w:val="20"/>
          <w:szCs w:val="20"/>
          <w:color w:val="auto"/>
        </w:rPr>
      </w:pPr>
      <w:r>
        <w:rPr>
          <w:rFonts w:ascii="Arial" w:cs="Arial" w:eastAsia="Arial" w:hAnsi="Arial"/>
          <w:sz w:val="18"/>
          <w:szCs w:val="18"/>
          <w:b w:val="1"/>
          <w:bCs w:val="1"/>
          <w:color w:val="202124"/>
        </w:rPr>
        <w:t xml:space="preserve">Business Not for Inclusion in the Proxy Statement. </w:t>
      </w:r>
      <w:r>
        <w:rPr>
          <w:rFonts w:ascii="Arial" w:cs="Arial" w:eastAsia="Arial" w:hAnsi="Arial"/>
          <w:sz w:val="18"/>
          <w:szCs w:val="18"/>
          <w:color w:val="202124"/>
        </w:rPr>
        <w:t>In accordance with Article II, Section 2 of AutoZone’s By-Laws,</w:t>
      </w:r>
      <w:r>
        <w:rPr>
          <w:rFonts w:ascii="Arial" w:cs="Arial" w:eastAsia="Arial" w:hAnsi="Arial"/>
          <w:sz w:val="18"/>
          <w:szCs w:val="18"/>
          <w:b w:val="1"/>
          <w:bCs w:val="1"/>
          <w:color w:val="202124"/>
        </w:rPr>
        <w:t xml:space="preserve"> </w:t>
      </w:r>
      <w:r>
        <w:rPr>
          <w:rFonts w:ascii="Arial" w:cs="Arial" w:eastAsia="Arial" w:hAnsi="Arial"/>
          <w:sz w:val="18"/>
          <w:szCs w:val="18"/>
          <w:color w:val="202124"/>
        </w:rPr>
        <w:t>stockholder proposals received after August 18, 2027, but before September 17, 2027, may be presented at the Annual Meeting, but will not be included in the Proxy Statement. Any stockholder proposal received on or after September 17, 2027, will not be eligible to be presented for a vote to the stockholders in accordance with our By-Laws.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02124"/>
        </w:rPr>
        <w:t>Universal Proxy Rules for Director Nominations</w:t>
      </w:r>
    </w:p>
    <w:p>
      <w:pPr>
        <w:spacing w:after="0" w:line="171" w:lineRule="exact"/>
        <w:rPr>
          <w:sz w:val="20"/>
          <w:szCs w:val="20"/>
          <w:color w:val="auto"/>
        </w:rPr>
      </w:pPr>
    </w:p>
    <w:p>
      <w:pPr>
        <w:jc w:val="both"/>
        <w:ind w:left="640" w:right="180"/>
        <w:spacing w:after="0" w:line="247" w:lineRule="auto"/>
        <w:rPr>
          <w:sz w:val="20"/>
          <w:szCs w:val="20"/>
          <w:color w:val="auto"/>
        </w:rPr>
      </w:pPr>
      <w:r>
        <w:rPr>
          <w:rFonts w:ascii="Arial" w:cs="Arial" w:eastAsia="Arial" w:hAnsi="Arial"/>
          <w:sz w:val="18"/>
          <w:szCs w:val="18"/>
          <w:color w:val="202124"/>
        </w:rPr>
        <w:t>In addition to satisfying the foregoing requirements under AutoZone’s By-laws, to comply with the universal proxy rules, stockholders who intend to solicit proxies in support of director nominees other than AutoZone’s nominees must provide notice that sets forth the information required by Rule 14a-19 under the Exchange Act. Such notice must be postmarked or transmitted electronically no later than October 17,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80   </w:t>
      </w:r>
      <w:r>
        <w:rPr>
          <w:sz w:val="1"/>
          <w:szCs w:val="1"/>
          <w:color w:val="auto"/>
        </w:rPr>
        <w:drawing>
          <wp:inline distT="0" distB="0" distL="0" distR="0">
            <wp:extent cx="1165860" cy="137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83" w:name="page84"/>
    <w:bookmarkEnd w:id="8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202124"/>
        </w:rPr>
        <w:t>AUTOZONE, INC.</w:t>
      </w:r>
    </w:p>
    <w:p>
      <w:pPr>
        <w:spacing w:after="0" w:line="21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202124"/>
        </w:rPr>
        <w:t>NINTH AMENDED AND RESTATED</w:t>
      </w:r>
    </w:p>
    <w:p>
      <w:pPr>
        <w:spacing w:after="0" w:line="1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202124"/>
        </w:rPr>
        <w:t>EMPLOYEE STOCK PURCHASE PLAN</w:t>
      </w:r>
    </w:p>
    <w:p>
      <w:pPr>
        <w:spacing w:after="0" w:line="180" w:lineRule="exact"/>
        <w:rPr>
          <w:sz w:val="20"/>
          <w:szCs w:val="20"/>
          <w:color w:val="auto"/>
        </w:rPr>
      </w:pPr>
    </w:p>
    <w:p>
      <w:pPr>
        <w:ind w:left="640" w:right="140" w:firstLine="648"/>
        <w:spacing w:after="0" w:line="237" w:lineRule="auto"/>
        <w:rPr>
          <w:sz w:val="20"/>
          <w:szCs w:val="20"/>
          <w:color w:val="auto"/>
        </w:rPr>
      </w:pPr>
      <w:r>
        <w:rPr>
          <w:rFonts w:ascii="Arial" w:cs="Arial" w:eastAsia="Arial" w:hAnsi="Arial"/>
          <w:sz w:val="18"/>
          <w:szCs w:val="18"/>
          <w:color w:val="202124"/>
        </w:rPr>
        <w:t>AUTOZONE, INC., a corporation organized under the laws of the State of Delaware, by resolution of its Board of Directors on March 29, 1991, adopted the Employee Stock Purchase Plan (the “Plan”). The Plan was approved by the</w:t>
      </w:r>
    </w:p>
    <w:p>
      <w:pPr>
        <w:ind w:left="640"/>
        <w:spacing w:after="0" w:line="235" w:lineRule="auto"/>
        <w:rPr>
          <w:sz w:val="20"/>
          <w:szCs w:val="20"/>
          <w:color w:val="auto"/>
        </w:rPr>
      </w:pPr>
      <w:r>
        <w:rPr>
          <w:rFonts w:ascii="Arial" w:cs="Arial" w:eastAsia="Arial" w:hAnsi="Arial"/>
          <w:sz w:val="18"/>
          <w:szCs w:val="18"/>
          <w:color w:val="202124"/>
        </w:rPr>
        <w:t>stockholders of the Company on March 29, 1991, and later amended on June 18, 1991. The Plan was amended by the</w:t>
      </w:r>
    </w:p>
    <w:p>
      <w:pPr>
        <w:spacing w:after="0" w:line="1" w:lineRule="exact"/>
        <w:rPr>
          <w:sz w:val="20"/>
          <w:szCs w:val="20"/>
          <w:color w:val="auto"/>
        </w:rPr>
      </w:pPr>
    </w:p>
    <w:p>
      <w:pPr>
        <w:ind w:left="640" w:right="500"/>
        <w:spacing w:after="0" w:line="226" w:lineRule="auto"/>
        <w:rPr>
          <w:sz w:val="20"/>
          <w:szCs w:val="20"/>
          <w:color w:val="auto"/>
        </w:rPr>
      </w:pPr>
      <w:r>
        <w:rPr>
          <w:rFonts w:ascii="Arial" w:cs="Arial" w:eastAsia="Arial" w:hAnsi="Arial"/>
          <w:sz w:val="18"/>
          <w:szCs w:val="18"/>
          <w:color w:val="202124"/>
        </w:rPr>
        <w:t>Board of Directors on June 18, 1991, to conform the Plan to amendments to the regulations related to the Securities Exchange Act of 1934, as amended. On December 21, 1991, the Plan was assumed by AutoZone, Inc., a Nevada</w:t>
      </w:r>
    </w:p>
    <w:p>
      <w:pPr>
        <w:ind w:left="640"/>
        <w:spacing w:after="0" w:line="236" w:lineRule="auto"/>
        <w:rPr>
          <w:sz w:val="20"/>
          <w:szCs w:val="20"/>
          <w:color w:val="auto"/>
        </w:rPr>
      </w:pPr>
      <w:r>
        <w:rPr>
          <w:rFonts w:ascii="Arial" w:cs="Arial" w:eastAsia="Arial" w:hAnsi="Arial"/>
          <w:sz w:val="18"/>
          <w:szCs w:val="18"/>
          <w:color w:val="202124"/>
        </w:rPr>
        <w:t>corporation, after its reincorporation. The Plan was amended by the Board of Directors on March 2, 1996, and October 21,</w:t>
      </w:r>
    </w:p>
    <w:p>
      <w:pPr>
        <w:spacing w:after="0" w:line="1" w:lineRule="exact"/>
        <w:rPr>
          <w:sz w:val="20"/>
          <w:szCs w:val="20"/>
          <w:color w:val="auto"/>
        </w:rPr>
      </w:pPr>
    </w:p>
    <w:p>
      <w:pPr>
        <w:ind w:left="640" w:right="360"/>
        <w:spacing w:after="0"/>
        <w:rPr>
          <w:sz w:val="20"/>
          <w:szCs w:val="20"/>
          <w:color w:val="auto"/>
        </w:rPr>
      </w:pPr>
      <w:r>
        <w:rPr>
          <w:rFonts w:ascii="Arial" w:cs="Arial" w:eastAsia="Arial" w:hAnsi="Arial"/>
          <w:sz w:val="17"/>
          <w:szCs w:val="17"/>
          <w:color w:val="202124"/>
        </w:rPr>
        <w:t>1996, to extend the expiration date of the Plan. On October 21, 1997, the Compensation Committee adopted the Amended and Restated Employee Stock Purchase Plan, which was approved by the stockholders of the Company on</w:t>
      </w:r>
    </w:p>
    <w:p>
      <w:pPr>
        <w:ind w:left="640"/>
        <w:spacing w:after="0" w:line="235" w:lineRule="auto"/>
        <w:rPr>
          <w:sz w:val="20"/>
          <w:szCs w:val="20"/>
          <w:color w:val="auto"/>
        </w:rPr>
      </w:pPr>
      <w:r>
        <w:rPr>
          <w:rFonts w:ascii="Arial" w:cs="Arial" w:eastAsia="Arial" w:hAnsi="Arial"/>
          <w:sz w:val="18"/>
          <w:szCs w:val="18"/>
          <w:color w:val="202124"/>
        </w:rPr>
        <w:t>December 18, 1997. On October 19, 1999, the Compensation Committee adopted the Second Amended and Restated</w:t>
      </w:r>
    </w:p>
    <w:p>
      <w:pPr>
        <w:ind w:left="640" w:right="80"/>
        <w:spacing w:after="0" w:line="226" w:lineRule="auto"/>
        <w:rPr>
          <w:sz w:val="20"/>
          <w:szCs w:val="20"/>
          <w:color w:val="auto"/>
        </w:rPr>
      </w:pPr>
      <w:r>
        <w:rPr>
          <w:rFonts w:ascii="Arial" w:cs="Arial" w:eastAsia="Arial" w:hAnsi="Arial"/>
          <w:sz w:val="18"/>
          <w:szCs w:val="18"/>
          <w:color w:val="202124"/>
        </w:rPr>
        <w:t>Employee Stock Purchase Plan to prohibit sales of shares purchased under the Plan for at least one year after the exercise of an option under the Plan. On December 12, 2002, the Board of Directors extended the termination date of the</w:t>
      </w:r>
    </w:p>
    <w:p>
      <w:pPr>
        <w:ind w:left="640"/>
        <w:spacing w:after="0" w:line="236" w:lineRule="auto"/>
        <w:rPr>
          <w:sz w:val="20"/>
          <w:szCs w:val="20"/>
          <w:color w:val="auto"/>
        </w:rPr>
      </w:pPr>
      <w:r>
        <w:rPr>
          <w:rFonts w:ascii="Arial" w:cs="Arial" w:eastAsia="Arial" w:hAnsi="Arial"/>
          <w:sz w:val="18"/>
          <w:szCs w:val="18"/>
          <w:color w:val="202124"/>
        </w:rPr>
        <w:t>Plan to December 31, 2007. On September 26, 2007, the Board of Directors amended the Plan to extend the termination</w:t>
      </w:r>
    </w:p>
    <w:p>
      <w:pPr>
        <w:spacing w:after="0" w:line="1" w:lineRule="exact"/>
        <w:rPr>
          <w:sz w:val="20"/>
          <w:szCs w:val="20"/>
          <w:color w:val="auto"/>
        </w:rPr>
      </w:pPr>
    </w:p>
    <w:p>
      <w:pPr>
        <w:ind w:left="640" w:right="620"/>
        <w:spacing w:after="0"/>
        <w:rPr>
          <w:sz w:val="20"/>
          <w:szCs w:val="20"/>
          <w:color w:val="auto"/>
        </w:rPr>
      </w:pPr>
      <w:r>
        <w:rPr>
          <w:rFonts w:ascii="Arial" w:cs="Arial" w:eastAsia="Arial" w:hAnsi="Arial"/>
          <w:sz w:val="17"/>
          <w:szCs w:val="17"/>
          <w:color w:val="202124"/>
        </w:rPr>
        <w:t>date of the Plan to December 31, 2017, and to make certain other desired changes. On December 15, 2009, the Compensation Committee adopted, and the Board of Directors approved, an amendment to the Plan to establish a</w:t>
      </w:r>
    </w:p>
    <w:p>
      <w:pPr>
        <w:spacing w:after="0" w:line="1"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202124"/>
        </w:rPr>
        <w:t>maximum number of shares that can be purchased by a Participant during each Option Period. On September 28, 2010, the Compensation Committee adopted, and the Board of Directors approved, an amendment to the Plan to provide for the</w:t>
      </w:r>
    </w:p>
    <w:p>
      <w:pPr>
        <w:ind w:left="640"/>
        <w:spacing w:after="0" w:line="236" w:lineRule="auto"/>
        <w:rPr>
          <w:sz w:val="20"/>
          <w:szCs w:val="20"/>
          <w:color w:val="auto"/>
        </w:rPr>
      </w:pPr>
      <w:r>
        <w:rPr>
          <w:rFonts w:ascii="Arial" w:cs="Arial" w:eastAsia="Arial" w:hAnsi="Arial"/>
          <w:sz w:val="18"/>
          <w:szCs w:val="18"/>
          <w:color w:val="202124"/>
        </w:rPr>
        <w:t>purchase of fractional shares. On December 20, 2017, the Board of Directors extended the termination date of the Plan to</w:t>
      </w:r>
    </w:p>
    <w:p>
      <w:pPr>
        <w:spacing w:after="0" w:line="1" w:lineRule="exact"/>
        <w:rPr>
          <w:sz w:val="20"/>
          <w:szCs w:val="20"/>
          <w:color w:val="auto"/>
        </w:rPr>
      </w:pPr>
    </w:p>
    <w:p>
      <w:pPr>
        <w:ind w:left="640" w:right="20"/>
        <w:spacing w:after="0"/>
        <w:rPr>
          <w:sz w:val="20"/>
          <w:szCs w:val="20"/>
          <w:color w:val="auto"/>
        </w:rPr>
      </w:pPr>
      <w:r>
        <w:rPr>
          <w:rFonts w:ascii="Arial" w:cs="Arial" w:eastAsia="Arial" w:hAnsi="Arial"/>
          <w:sz w:val="17"/>
          <w:szCs w:val="17"/>
          <w:color w:val="202124"/>
        </w:rPr>
        <w:t>December 31, 2027. On March 21, 2021, the Compensation Committee adopted, and the Board of Directors approved, an amendment to the Plan to provide for book-entry delivery of shares and adopt other administrative changes. The Plan is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hereby amended and restated as set forth herein.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202124"/>
        </w:rPr>
        <w:t>The purposes of the Plan are as follows:</w:t>
      </w:r>
    </w:p>
    <w:p>
      <w:pPr>
        <w:spacing w:after="0" w:line="171" w:lineRule="exact"/>
        <w:rPr>
          <w:sz w:val="20"/>
          <w:szCs w:val="20"/>
          <w:color w:val="auto"/>
        </w:rPr>
      </w:pPr>
    </w:p>
    <w:p>
      <w:pPr>
        <w:ind w:left="640" w:right="160" w:firstLine="652"/>
        <w:spacing w:after="0" w:line="245" w:lineRule="auto"/>
        <w:tabs>
          <w:tab w:leader="none" w:pos="1936" w:val="left"/>
        </w:tabs>
        <w:numPr>
          <w:ilvl w:val="1"/>
          <w:numId w:val="107"/>
        </w:numPr>
        <w:rPr>
          <w:rFonts w:ascii="Arial" w:cs="Arial" w:eastAsia="Arial" w:hAnsi="Arial"/>
          <w:sz w:val="18"/>
          <w:szCs w:val="18"/>
          <w:color w:val="202124"/>
        </w:rPr>
      </w:pPr>
      <w:r>
        <w:rPr>
          <w:rFonts w:ascii="Arial" w:cs="Arial" w:eastAsia="Arial" w:hAnsi="Arial"/>
          <w:sz w:val="18"/>
          <w:szCs w:val="18"/>
          <w:color w:val="202124"/>
        </w:rPr>
        <w:t>To assist employees of the Company or of a Parent or Subsidiary of the Company in acquiring a stock ownership interest in the Company pursuant to a plan which is intended to qualify as an “employee stock purchase plan” under Section 423 of the Internal Revenue Code of 1986, as amended.</w:t>
      </w:r>
    </w:p>
    <w:p>
      <w:pPr>
        <w:spacing w:after="0" w:line="135" w:lineRule="exact"/>
        <w:rPr>
          <w:rFonts w:ascii="Arial" w:cs="Arial" w:eastAsia="Arial" w:hAnsi="Arial"/>
          <w:sz w:val="18"/>
          <w:szCs w:val="18"/>
          <w:color w:val="202124"/>
        </w:rPr>
      </w:pPr>
    </w:p>
    <w:p>
      <w:pPr>
        <w:ind w:left="640" w:right="20" w:firstLine="652"/>
        <w:spacing w:after="0" w:line="271" w:lineRule="auto"/>
        <w:tabs>
          <w:tab w:leader="none" w:pos="1936" w:val="left"/>
        </w:tabs>
        <w:numPr>
          <w:ilvl w:val="1"/>
          <w:numId w:val="107"/>
        </w:numPr>
        <w:rPr>
          <w:rFonts w:ascii="Arial" w:cs="Arial" w:eastAsia="Arial" w:hAnsi="Arial"/>
          <w:sz w:val="18"/>
          <w:szCs w:val="18"/>
          <w:color w:val="202124"/>
        </w:rPr>
      </w:pPr>
      <w:r>
        <w:rPr>
          <w:rFonts w:ascii="Arial" w:cs="Arial" w:eastAsia="Arial" w:hAnsi="Arial"/>
          <w:sz w:val="18"/>
          <w:szCs w:val="18"/>
          <w:color w:val="202124"/>
        </w:rPr>
        <w:t>To help employees provide for their future security and to encourage them to remain in the employment of the Company or of a Parent or Subsidiary of the Company.</w:t>
      </w:r>
    </w:p>
    <w:p>
      <w:pPr>
        <w:spacing w:after="0" w:line="113" w:lineRule="exact"/>
        <w:rPr>
          <w:rFonts w:ascii="Arial" w:cs="Arial" w:eastAsia="Arial" w:hAnsi="Arial"/>
          <w:sz w:val="18"/>
          <w:szCs w:val="18"/>
          <w:color w:val="202124"/>
        </w:rPr>
      </w:pPr>
    </w:p>
    <w:p>
      <w:pPr>
        <w:ind w:left="1300" w:hanging="656"/>
        <w:spacing w:after="0"/>
        <w:tabs>
          <w:tab w:leader="none" w:pos="1300" w:val="left"/>
        </w:tabs>
        <w:numPr>
          <w:ilvl w:val="0"/>
          <w:numId w:val="108"/>
        </w:numPr>
        <w:rPr>
          <w:rFonts w:ascii="Arial" w:cs="Arial" w:eastAsia="Arial" w:hAnsi="Arial"/>
          <w:sz w:val="18"/>
          <w:szCs w:val="18"/>
          <w:b w:val="1"/>
          <w:bCs w:val="1"/>
          <w:color w:val="202124"/>
        </w:rPr>
      </w:pPr>
      <w:r>
        <w:rPr>
          <w:rFonts w:ascii="Arial" w:cs="Arial" w:eastAsia="Arial" w:hAnsi="Arial"/>
          <w:sz w:val="18"/>
          <w:szCs w:val="18"/>
          <w:b w:val="1"/>
          <w:bCs w:val="1"/>
          <w:color w:val="202124"/>
        </w:rPr>
        <w:t>DEFINITIONS</w:t>
      </w:r>
    </w:p>
    <w:p>
      <w:pPr>
        <w:spacing w:after="0" w:line="171" w:lineRule="exact"/>
        <w:rPr>
          <w:rFonts w:ascii="Arial" w:cs="Arial" w:eastAsia="Arial" w:hAnsi="Arial"/>
          <w:sz w:val="18"/>
          <w:szCs w:val="18"/>
          <w:b w:val="1"/>
          <w:bCs w:val="1"/>
          <w:color w:val="202124"/>
        </w:rPr>
      </w:pPr>
    </w:p>
    <w:p>
      <w:pPr>
        <w:ind w:left="1300"/>
        <w:spacing w:after="0"/>
        <w:rPr>
          <w:rFonts w:ascii="Arial" w:cs="Arial" w:eastAsia="Arial" w:hAnsi="Arial"/>
          <w:sz w:val="18"/>
          <w:szCs w:val="18"/>
          <w:b w:val="1"/>
          <w:bCs w:val="1"/>
          <w:color w:val="202124"/>
        </w:rPr>
      </w:pPr>
      <w:r>
        <w:rPr>
          <w:rFonts w:ascii="Arial" w:cs="Arial" w:eastAsia="Arial" w:hAnsi="Arial"/>
          <w:sz w:val="18"/>
          <w:szCs w:val="18"/>
          <w:color w:val="202124"/>
        </w:rPr>
        <w:t>Whenever any of the following terms are used in the Plan with the first letter or letters capitalized, they shall have</w:t>
      </w:r>
    </w:p>
    <w:p>
      <w:pPr>
        <w:spacing w:after="0" w:line="14" w:lineRule="exact"/>
        <w:rPr>
          <w:sz w:val="20"/>
          <w:szCs w:val="20"/>
          <w:color w:val="auto"/>
        </w:rPr>
      </w:pPr>
    </w:p>
    <w:p>
      <w:pPr>
        <w:ind w:left="640" w:right="100"/>
        <w:spacing w:after="0" w:line="237" w:lineRule="auto"/>
        <w:rPr>
          <w:sz w:val="20"/>
          <w:szCs w:val="20"/>
          <w:color w:val="auto"/>
        </w:rPr>
      </w:pPr>
      <w:r>
        <w:rPr>
          <w:rFonts w:ascii="Arial" w:cs="Arial" w:eastAsia="Arial" w:hAnsi="Arial"/>
          <w:sz w:val="18"/>
          <w:szCs w:val="18"/>
          <w:color w:val="202124"/>
        </w:rPr>
        <w:t>the meaning specified below unless the context clearly indicates to the contrary. The masculine pronoun shall include the feminine and neuter and the singular shall include the plural where the context so indicates:</w:t>
      </w:r>
    </w:p>
    <w:p>
      <w:pPr>
        <w:spacing w:after="0" w:line="140" w:lineRule="exact"/>
        <w:rPr>
          <w:sz w:val="20"/>
          <w:szCs w:val="20"/>
          <w:color w:val="auto"/>
        </w:rPr>
      </w:pPr>
    </w:p>
    <w:p>
      <w:pPr>
        <w:ind w:left="1940" w:hanging="648"/>
        <w:spacing w:after="0"/>
        <w:tabs>
          <w:tab w:leader="none" w:pos="1940" w:val="left"/>
        </w:tabs>
        <w:numPr>
          <w:ilvl w:val="0"/>
          <w:numId w:val="109"/>
        </w:numPr>
        <w:rPr>
          <w:rFonts w:ascii="Arial" w:cs="Arial" w:eastAsia="Arial" w:hAnsi="Arial"/>
          <w:sz w:val="18"/>
          <w:szCs w:val="18"/>
          <w:color w:val="202124"/>
        </w:rPr>
      </w:pPr>
      <w:r>
        <w:rPr>
          <w:rFonts w:ascii="Arial" w:cs="Arial" w:eastAsia="Arial" w:hAnsi="Arial"/>
          <w:sz w:val="18"/>
          <w:szCs w:val="18"/>
          <w:color w:val="202124"/>
        </w:rPr>
        <w:t>“Board” shall mean the Board of Directors of the Company.</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0"/>
          <w:numId w:val="109"/>
        </w:numPr>
        <w:rPr>
          <w:rFonts w:ascii="Arial" w:cs="Arial" w:eastAsia="Arial" w:hAnsi="Arial"/>
          <w:sz w:val="18"/>
          <w:szCs w:val="18"/>
          <w:color w:val="202124"/>
        </w:rPr>
      </w:pPr>
      <w:r>
        <w:rPr>
          <w:rFonts w:ascii="Arial" w:cs="Arial" w:eastAsia="Arial" w:hAnsi="Arial"/>
          <w:sz w:val="18"/>
          <w:szCs w:val="18"/>
          <w:color w:val="202124"/>
        </w:rPr>
        <w:t>“Code” shall mean the Internal Revenue Code of 1986, as amended.</w:t>
      </w:r>
    </w:p>
    <w:p>
      <w:pPr>
        <w:spacing w:after="0" w:line="171" w:lineRule="exact"/>
        <w:rPr>
          <w:rFonts w:ascii="Arial" w:cs="Arial" w:eastAsia="Arial" w:hAnsi="Arial"/>
          <w:sz w:val="18"/>
          <w:szCs w:val="18"/>
          <w:color w:val="202124"/>
        </w:rPr>
      </w:pPr>
    </w:p>
    <w:p>
      <w:pPr>
        <w:ind w:left="640" w:right="420" w:firstLine="652"/>
        <w:spacing w:after="0" w:line="271" w:lineRule="auto"/>
        <w:tabs>
          <w:tab w:leader="none" w:pos="1936" w:val="left"/>
        </w:tabs>
        <w:numPr>
          <w:ilvl w:val="0"/>
          <w:numId w:val="109"/>
        </w:numPr>
        <w:rPr>
          <w:rFonts w:ascii="Arial" w:cs="Arial" w:eastAsia="Arial" w:hAnsi="Arial"/>
          <w:sz w:val="18"/>
          <w:szCs w:val="18"/>
          <w:color w:val="202124"/>
        </w:rPr>
      </w:pPr>
      <w:r>
        <w:rPr>
          <w:rFonts w:ascii="Arial" w:cs="Arial" w:eastAsia="Arial" w:hAnsi="Arial"/>
          <w:sz w:val="18"/>
          <w:szCs w:val="18"/>
          <w:color w:val="202124"/>
        </w:rPr>
        <w:t>“Committee” shall mean the Compensation Committee of the Board appointed to administer the Plan pursuant to paragraph 12.</w:t>
      </w:r>
    </w:p>
    <w:p>
      <w:pPr>
        <w:spacing w:after="0" w:line="113" w:lineRule="exact"/>
        <w:rPr>
          <w:rFonts w:ascii="Arial" w:cs="Arial" w:eastAsia="Arial" w:hAnsi="Arial"/>
          <w:sz w:val="18"/>
          <w:szCs w:val="18"/>
          <w:color w:val="202124"/>
        </w:rPr>
      </w:pPr>
    </w:p>
    <w:p>
      <w:pPr>
        <w:ind w:left="1940" w:hanging="648"/>
        <w:spacing w:after="0"/>
        <w:tabs>
          <w:tab w:leader="none" w:pos="1940" w:val="left"/>
        </w:tabs>
        <w:numPr>
          <w:ilvl w:val="0"/>
          <w:numId w:val="109"/>
        </w:numPr>
        <w:rPr>
          <w:rFonts w:ascii="Arial" w:cs="Arial" w:eastAsia="Arial" w:hAnsi="Arial"/>
          <w:sz w:val="18"/>
          <w:szCs w:val="18"/>
          <w:color w:val="202124"/>
        </w:rPr>
      </w:pPr>
      <w:r>
        <w:rPr>
          <w:rFonts w:ascii="Arial" w:cs="Arial" w:eastAsia="Arial" w:hAnsi="Arial"/>
          <w:sz w:val="18"/>
          <w:szCs w:val="18"/>
          <w:color w:val="202124"/>
        </w:rPr>
        <w:t>“Company” shall mean AutoZone, Inc., a Nevada corporation.</w:t>
      </w:r>
    </w:p>
    <w:p>
      <w:pPr>
        <w:spacing w:after="0" w:line="171" w:lineRule="exact"/>
        <w:rPr>
          <w:rFonts w:ascii="Arial" w:cs="Arial" w:eastAsia="Arial" w:hAnsi="Arial"/>
          <w:sz w:val="18"/>
          <w:szCs w:val="18"/>
          <w:color w:val="202124"/>
        </w:rPr>
      </w:pPr>
    </w:p>
    <w:p>
      <w:pPr>
        <w:ind w:left="640" w:firstLine="652"/>
        <w:spacing w:after="0" w:line="236" w:lineRule="auto"/>
        <w:tabs>
          <w:tab w:leader="none" w:pos="1936" w:val="left"/>
        </w:tabs>
        <w:numPr>
          <w:ilvl w:val="0"/>
          <w:numId w:val="109"/>
        </w:numPr>
        <w:rPr>
          <w:rFonts w:ascii="Arial" w:cs="Arial" w:eastAsia="Arial" w:hAnsi="Arial"/>
          <w:sz w:val="18"/>
          <w:szCs w:val="18"/>
          <w:color w:val="202124"/>
        </w:rPr>
      </w:pPr>
      <w:r>
        <w:rPr>
          <w:rFonts w:ascii="Arial" w:cs="Arial" w:eastAsia="Arial" w:hAnsi="Arial"/>
          <w:sz w:val="18"/>
          <w:szCs w:val="18"/>
          <w:color w:val="202124"/>
        </w:rPr>
        <w:t>“Date of Exercise” shall mean with respect to any Option (i) the March 31 of the Plan Year in which the Option was granted (in the case of an Option granted on January 1), (ii) the June 30 of the Plan Year in which the Option was granted (in the case of an Option granted on April 1), (iii) the September 30 of the Plan Year in which the Option was granted (in the case of an Option granted on July 1), (iv) the December 31 of the Plan Year in which the Option was granted (in the case of an Option granted on October 1) or (v) such other day, as may be determined by the Committee, of the Plan Year in which the Option was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A-1</w:t>
            </w:r>
          </w:p>
        </w:tc>
      </w:tr>
    </w:tbl>
    <w:p>
      <w:pPr>
        <w:sectPr>
          <w:pgSz w:w="11900" w:h="16838" w:orient="portrait"/>
          <w:cols w:equalWidth="0" w:num="1">
            <w:col w:w="10360"/>
          </w:cols>
          <w:pgMar w:left="440" w:top="106" w:right="1099" w:bottom="1440" w:gutter="0" w:footer="0" w:header="0"/>
        </w:sectPr>
      </w:pPr>
    </w:p>
    <w:bookmarkStart w:id="84" w:name="page85"/>
    <w:bookmarkEnd w:id="8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“Date of Grant” shall mean the date upon which an Option is granted, as set forth in paragraph 3(a).</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“Determination Date” shall have the meaning provided in paragraph 4(c)(iii) below.</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Reserved.</w:t>
      </w:r>
    </w:p>
    <w:p>
      <w:pPr>
        <w:spacing w:after="0" w:line="171" w:lineRule="exact"/>
        <w:rPr>
          <w:rFonts w:ascii="Arial" w:cs="Arial" w:eastAsia="Arial" w:hAnsi="Arial"/>
          <w:sz w:val="18"/>
          <w:szCs w:val="18"/>
          <w:color w:val="202124"/>
        </w:rPr>
      </w:pPr>
    </w:p>
    <w:p>
      <w:pPr>
        <w:ind w:left="640" w:right="320" w:firstLine="652"/>
        <w:spacing w:after="0" w:line="236" w:lineRule="auto"/>
        <w:tabs>
          <w:tab w:leader="none" w:pos="198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“Eligible Compensation” shall mean with respect to each Participant for each pay period, all regular straight time gross earnings paid to such Participant by the Company or a Designated Subsidiary. Except as otherwise determined by the Committee, “Compensation” shall include base wages, commissions, overtime and short-term cash incentive compensation. The Committee, in its discretion, may, on a uniform and nondiscriminatory basis, establish a different definition of Eligible Compensation.</w:t>
      </w:r>
    </w:p>
    <w:p>
      <w:pPr>
        <w:spacing w:after="0" w:line="143" w:lineRule="exact"/>
        <w:rPr>
          <w:rFonts w:ascii="Arial" w:cs="Arial" w:eastAsia="Arial" w:hAnsi="Arial"/>
          <w:sz w:val="18"/>
          <w:szCs w:val="18"/>
          <w:color w:val="202124"/>
        </w:rPr>
      </w:pPr>
    </w:p>
    <w:p>
      <w:pPr>
        <w:ind w:left="640" w:firstLine="652"/>
        <w:spacing w:after="0"/>
        <w:tabs>
          <w:tab w:leader="none" w:pos="193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“Eligible Employee” shall mean an employee of the Company and those of any present or future Parent or Subsidiary of the Company incorporated under the laws of a state of the United States of America (i) who has completed six months of employment; and (ii) who does not, immediately after the Option is granted, own stock (as defined by Sections 423(b)(3) and 424(d) of the Code) possessing five percent or more of the total combined voting power or value of all classes of stock of the Company or of a Parent or Subsidiary of the Company.</w:t>
      </w:r>
    </w:p>
    <w:p>
      <w:pPr>
        <w:spacing w:after="0" w:line="139"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Reserved.</w:t>
      </w:r>
    </w:p>
    <w:p>
      <w:pPr>
        <w:spacing w:after="0" w:line="171" w:lineRule="exact"/>
        <w:rPr>
          <w:rFonts w:ascii="Arial" w:cs="Arial" w:eastAsia="Arial" w:hAnsi="Arial"/>
          <w:sz w:val="18"/>
          <w:szCs w:val="18"/>
          <w:color w:val="202124"/>
        </w:rPr>
      </w:pPr>
    </w:p>
    <w:p>
      <w:pPr>
        <w:ind w:left="640" w:right="160" w:firstLine="652"/>
        <w:spacing w:after="0" w:line="256" w:lineRule="auto"/>
        <w:tabs>
          <w:tab w:leader="none" w:pos="193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“Option” shall mean an option granted under the Plan to an Eligible Employee to purchase shares of the Company’s Stock.</w:t>
      </w:r>
    </w:p>
    <w:p>
      <w:pPr>
        <w:spacing w:after="0" w:line="125" w:lineRule="exact"/>
        <w:rPr>
          <w:rFonts w:ascii="Arial" w:cs="Arial" w:eastAsia="Arial" w:hAnsi="Arial"/>
          <w:sz w:val="18"/>
          <w:szCs w:val="18"/>
          <w:color w:val="202124"/>
        </w:rPr>
      </w:pPr>
    </w:p>
    <w:p>
      <w:pPr>
        <w:ind w:left="640" w:right="240" w:firstLine="652"/>
        <w:spacing w:after="0" w:line="271" w:lineRule="auto"/>
        <w:tabs>
          <w:tab w:leader="none" w:pos="193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“Option Period” shall mean with respect to any Option the period beginning upon the Date of Grant and ending upon the Date of Exercise.</w:t>
      </w:r>
    </w:p>
    <w:p>
      <w:pPr>
        <w:spacing w:after="0" w:line="113"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“Option Price” has the meaning set forth in paragraph 4(b).</w:t>
      </w:r>
    </w:p>
    <w:p>
      <w:pPr>
        <w:spacing w:after="0" w:line="171" w:lineRule="exact"/>
        <w:rPr>
          <w:rFonts w:ascii="Arial" w:cs="Arial" w:eastAsia="Arial" w:hAnsi="Arial"/>
          <w:sz w:val="18"/>
          <w:szCs w:val="18"/>
          <w:color w:val="202124"/>
        </w:rPr>
      </w:pPr>
    </w:p>
    <w:p>
      <w:pPr>
        <w:ind w:left="640" w:right="140" w:firstLine="652"/>
        <w:spacing w:after="0" w:line="241" w:lineRule="auto"/>
        <w:tabs>
          <w:tab w:leader="none" w:pos="193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“Parent of the Company” shall mean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40"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“Participant” shall mean an Eligible Employee who has complied with the provisions of paragraph 3(b).</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“Payout Date” shall have the meaning provided in paragraph 4(c)(iii) below.</w:t>
      </w:r>
    </w:p>
    <w:p>
      <w:pPr>
        <w:spacing w:after="0" w:line="171" w:lineRule="exact"/>
        <w:rPr>
          <w:rFonts w:ascii="Arial" w:cs="Arial" w:eastAsia="Arial" w:hAnsi="Arial"/>
          <w:sz w:val="18"/>
          <w:szCs w:val="18"/>
          <w:color w:val="202124"/>
        </w:rPr>
      </w:pPr>
    </w:p>
    <w:p>
      <w:pPr>
        <w:ind w:left="640" w:right="220" w:firstLine="652"/>
        <w:spacing w:after="0" w:line="271" w:lineRule="auto"/>
        <w:tabs>
          <w:tab w:leader="none" w:pos="193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“Plan” shall mean the AutoZone, Inc. Ninth Amended and Restated Employee Stock Purchase Plan, as may be amended from time to time.</w:t>
      </w:r>
    </w:p>
    <w:p>
      <w:pPr>
        <w:spacing w:after="0" w:line="113"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“Plan Year” shall mean the calendar year beginning on January 1 and ending on December 31.</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“Stock” shall mean the Company’s common stock.</w:t>
      </w:r>
    </w:p>
    <w:p>
      <w:pPr>
        <w:spacing w:after="0" w:line="171" w:lineRule="exact"/>
        <w:rPr>
          <w:rFonts w:ascii="Arial" w:cs="Arial" w:eastAsia="Arial" w:hAnsi="Arial"/>
          <w:sz w:val="18"/>
          <w:szCs w:val="18"/>
          <w:color w:val="202124"/>
        </w:rPr>
      </w:pPr>
    </w:p>
    <w:p>
      <w:pPr>
        <w:ind w:left="640" w:right="20" w:firstLine="652"/>
        <w:spacing w:after="0" w:line="241" w:lineRule="auto"/>
        <w:tabs>
          <w:tab w:leader="none" w:pos="1936" w:val="left"/>
        </w:tabs>
        <w:numPr>
          <w:ilvl w:val="1"/>
          <w:numId w:val="110"/>
        </w:numPr>
        <w:rPr>
          <w:rFonts w:ascii="Arial" w:cs="Arial" w:eastAsia="Arial" w:hAnsi="Arial"/>
          <w:sz w:val="18"/>
          <w:szCs w:val="18"/>
          <w:color w:val="202124"/>
        </w:rPr>
      </w:pPr>
      <w:r>
        <w:rPr>
          <w:rFonts w:ascii="Arial" w:cs="Arial" w:eastAsia="Arial" w:hAnsi="Arial"/>
          <w:sz w:val="18"/>
          <w:szCs w:val="18"/>
          <w:color w:val="202124"/>
        </w:rPr>
        <w:t>“Subsidiary of the Company” shall mean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40" w:lineRule="exact"/>
        <w:rPr>
          <w:rFonts w:ascii="Arial" w:cs="Arial" w:eastAsia="Arial" w:hAnsi="Arial"/>
          <w:sz w:val="18"/>
          <w:szCs w:val="18"/>
          <w:color w:val="202124"/>
        </w:rPr>
      </w:pPr>
    </w:p>
    <w:p>
      <w:pPr>
        <w:ind w:left="1300" w:hanging="656"/>
        <w:spacing w:after="0"/>
        <w:tabs>
          <w:tab w:leader="none" w:pos="1300" w:val="left"/>
        </w:tabs>
        <w:numPr>
          <w:ilvl w:val="0"/>
          <w:numId w:val="111"/>
        </w:numPr>
        <w:rPr>
          <w:rFonts w:ascii="Arial" w:cs="Arial" w:eastAsia="Arial" w:hAnsi="Arial"/>
          <w:sz w:val="18"/>
          <w:szCs w:val="18"/>
          <w:b w:val="1"/>
          <w:bCs w:val="1"/>
          <w:color w:val="202124"/>
        </w:rPr>
      </w:pPr>
      <w:r>
        <w:rPr>
          <w:rFonts w:ascii="Arial" w:cs="Arial" w:eastAsia="Arial" w:hAnsi="Arial"/>
          <w:sz w:val="18"/>
          <w:szCs w:val="18"/>
          <w:b w:val="1"/>
          <w:bCs w:val="1"/>
          <w:color w:val="202124"/>
        </w:rPr>
        <w:t>STOCK SUBJECT TO THE PLAN</w:t>
      </w:r>
    </w:p>
    <w:p>
      <w:pPr>
        <w:spacing w:after="0" w:line="171" w:lineRule="exact"/>
        <w:rPr>
          <w:sz w:val="20"/>
          <w:szCs w:val="20"/>
          <w:color w:val="auto"/>
        </w:rPr>
      </w:pPr>
    </w:p>
    <w:p>
      <w:pPr>
        <w:ind w:left="640" w:right="80" w:firstLine="648"/>
        <w:spacing w:after="0" w:line="237" w:lineRule="auto"/>
        <w:rPr>
          <w:sz w:val="20"/>
          <w:szCs w:val="20"/>
          <w:color w:val="auto"/>
        </w:rPr>
      </w:pPr>
      <w:r>
        <w:rPr>
          <w:rFonts w:ascii="Arial" w:cs="Arial" w:eastAsia="Arial" w:hAnsi="Arial"/>
          <w:sz w:val="18"/>
          <w:szCs w:val="18"/>
          <w:color w:val="202124"/>
        </w:rPr>
        <w:t>Subject to the provisions of paragraph 9 (relating to adjustment upon changes in the Stock), the Stock which may be sold pursuant to options granted under the Plan shall not exceed in the aggregate 100,000 shares and may be</w:t>
      </w:r>
    </w:p>
    <w:p>
      <w:pPr>
        <w:ind w:left="640"/>
        <w:spacing w:after="0" w:line="235" w:lineRule="auto"/>
        <w:rPr>
          <w:sz w:val="20"/>
          <w:szCs w:val="20"/>
          <w:color w:val="auto"/>
        </w:rPr>
      </w:pPr>
      <w:r>
        <w:rPr>
          <w:rFonts w:ascii="Arial" w:cs="Arial" w:eastAsia="Arial" w:hAnsi="Arial"/>
          <w:sz w:val="18"/>
          <w:szCs w:val="18"/>
          <w:color w:val="202124"/>
        </w:rPr>
        <w:t>unissued shares or reacquired shares or shares bought on the market for purposes of the Plan. All 100,000 shares of</w:t>
      </w:r>
    </w:p>
    <w:p>
      <w:pPr>
        <w:spacing w:after="0" w:line="1" w:lineRule="exact"/>
        <w:rPr>
          <w:sz w:val="20"/>
          <w:szCs w:val="20"/>
          <w:color w:val="auto"/>
        </w:rPr>
      </w:pPr>
    </w:p>
    <w:p>
      <w:pPr>
        <w:ind w:left="640" w:right="200"/>
        <w:spacing w:after="0" w:line="237" w:lineRule="auto"/>
        <w:rPr>
          <w:sz w:val="20"/>
          <w:szCs w:val="20"/>
          <w:color w:val="auto"/>
        </w:rPr>
      </w:pPr>
      <w:r>
        <w:rPr>
          <w:rFonts w:ascii="Arial" w:cs="Arial" w:eastAsia="Arial" w:hAnsi="Arial"/>
          <w:sz w:val="18"/>
          <w:szCs w:val="18"/>
          <w:color w:val="202124"/>
        </w:rPr>
        <w:t>Stock reserved under this Plan are shares that remained reserved and unissued under the prior version of this Plan, the AutoZone Inc. Eighth Amended and Restated Employee Stock Purchase Plan, as of the effective date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A-2  </w:t>
      </w:r>
      <w:r>
        <w:rPr>
          <w:sz w:val="1"/>
          <w:szCs w:val="1"/>
          <w:color w:val="auto"/>
        </w:rPr>
        <w:drawing>
          <wp:inline distT="0" distB="0" distL="0" distR="0">
            <wp:extent cx="116586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85" w:name="page86"/>
    <w:bookmarkEnd w:id="8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hanging="656"/>
        <w:spacing w:after="0"/>
        <w:tabs>
          <w:tab w:leader="none" w:pos="1300" w:val="left"/>
        </w:tabs>
        <w:numPr>
          <w:ilvl w:val="0"/>
          <w:numId w:val="112"/>
        </w:numPr>
        <w:rPr>
          <w:rFonts w:ascii="Arial" w:cs="Arial" w:eastAsia="Arial" w:hAnsi="Arial"/>
          <w:sz w:val="18"/>
          <w:szCs w:val="18"/>
          <w:b w:val="1"/>
          <w:bCs w:val="1"/>
          <w:color w:val="202124"/>
        </w:rPr>
      </w:pPr>
      <w:r>
        <w:rPr>
          <w:rFonts w:ascii="Arial" w:cs="Arial" w:eastAsia="Arial" w:hAnsi="Arial"/>
          <w:sz w:val="18"/>
          <w:szCs w:val="18"/>
          <w:b w:val="1"/>
          <w:bCs w:val="1"/>
          <w:color w:val="202124"/>
        </w:rPr>
        <w:t>GRANT OF OPTIONS</w:t>
      </w:r>
    </w:p>
    <w:p>
      <w:pPr>
        <w:spacing w:after="0" w:line="171" w:lineRule="exact"/>
        <w:rPr>
          <w:rFonts w:ascii="Arial" w:cs="Arial" w:eastAsia="Arial" w:hAnsi="Arial"/>
          <w:sz w:val="18"/>
          <w:szCs w:val="18"/>
          <w:b w:val="1"/>
          <w:bCs w:val="1"/>
          <w:color w:val="202124"/>
        </w:rPr>
      </w:pPr>
    </w:p>
    <w:p>
      <w:pPr>
        <w:ind w:left="640" w:right="20" w:firstLine="652"/>
        <w:spacing w:after="0" w:line="233" w:lineRule="auto"/>
        <w:tabs>
          <w:tab w:leader="none" w:pos="1936" w:val="left"/>
        </w:tabs>
        <w:numPr>
          <w:ilvl w:val="1"/>
          <w:numId w:val="112"/>
        </w:numPr>
        <w:rPr>
          <w:rFonts w:ascii="Arial" w:cs="Arial" w:eastAsia="Arial" w:hAnsi="Arial"/>
          <w:sz w:val="18"/>
          <w:szCs w:val="18"/>
          <w:color w:val="202124"/>
        </w:rPr>
      </w:pPr>
      <w:r>
        <w:rPr>
          <w:rFonts w:ascii="Arial" w:cs="Arial" w:eastAsia="Arial" w:hAnsi="Arial"/>
          <w:sz w:val="18"/>
          <w:szCs w:val="18"/>
          <w:color w:val="202124"/>
        </w:rPr>
        <w:t>General Statement. Following the effective date of the Plan and continuing while the Plan remains in force, the Company may offer Options under the Plan to all Eligible Employees. These Options may be granted four times each Plan Year on the January 1, the April 1, the July 1, or the October 1 of each Plan Year, or on such other days as may be determined by the Committee. The term of each Option shall be for three months and shall end on the March 31 (with respect to a January 1 Date of Grant), the June 30 (with respect to an April 1 Date of Grant), the September 30 (with respect to a July 1 Date of Grant), or the December 31 (with respect to an October 1 Date of Grant) of the Plan Year in which the Option is granted or for such other term or Date of Exercise as may be determined by the Committee. The number of shares of the Stock (including fractional shares of Stock) subject to each Option shall be the quotient of (i) the aggregate payroll deductions authorized by each Participant in accordance with subparagraph (b) for the Option Period divided by (ii) the Option Price of a share of the Stock. The maximum number of shares of Stock subject to each Option that a Participant may purchase during each Option Period is 1,000, subject to periodic adjustments in the event of certain changes in the Company’s capitalization, as described in paragraph 9.</w:t>
      </w:r>
    </w:p>
    <w:p>
      <w:pPr>
        <w:spacing w:after="0" w:line="140" w:lineRule="exact"/>
        <w:rPr>
          <w:rFonts w:ascii="Arial" w:cs="Arial" w:eastAsia="Arial" w:hAnsi="Arial"/>
          <w:sz w:val="18"/>
          <w:szCs w:val="18"/>
          <w:color w:val="202124"/>
        </w:rPr>
      </w:pPr>
    </w:p>
    <w:p>
      <w:pPr>
        <w:ind w:left="640" w:right="60" w:firstLine="652"/>
        <w:spacing w:after="0" w:line="233" w:lineRule="auto"/>
        <w:tabs>
          <w:tab w:leader="none" w:pos="1936" w:val="left"/>
        </w:tabs>
        <w:numPr>
          <w:ilvl w:val="1"/>
          <w:numId w:val="112"/>
        </w:numPr>
        <w:rPr>
          <w:rFonts w:ascii="Arial" w:cs="Arial" w:eastAsia="Arial" w:hAnsi="Arial"/>
          <w:sz w:val="18"/>
          <w:szCs w:val="18"/>
          <w:color w:val="202124"/>
        </w:rPr>
      </w:pPr>
      <w:r>
        <w:rPr>
          <w:rFonts w:ascii="Arial" w:cs="Arial" w:eastAsia="Arial" w:hAnsi="Arial"/>
          <w:sz w:val="18"/>
          <w:szCs w:val="18"/>
          <w:color w:val="202124"/>
        </w:rPr>
        <w:t>Election To Participate; Payroll Deduction Authorization. An Eligible Employee may participate in the Plan only by payroll deduction. Each Eligible Employee who elects to participate in the Plan shall deliver to the Company during the calendar month next preceding either a January 1 Date of Grant, an April 1 Date of Grant, a July 1 Date of Grant, or an October 1 Date of Grant, or on such other days as may be determined by the Committee, a properly completed enrollment agreement, in the form and manner specified by the Company, whereby the Eligible Employee gives notice of the election to participate in the Plan as of the next following Date of Grant, and which shall designate a stated dollar amount of Eligible Compensation to be withheld on each payday. The stated dollar amount shall be in $1.00 increments, may not be less than $1.00 for Participants subject to biweekly pay periods or weekly pay periods and may not exceed 20% of the applicable Participant’s Eligible Compensation. Notwithstanding the foregoing, the maximum cumulative amount an Eligible Employee may have withheld for use under the Plan during any one Plan Year may not in any event exceed $20,000. Eligible Employees may be required to take additional steps to enroll in the Plan if necessary to comply with applicable law or as may be determined by the Committee.</w:t>
      </w:r>
    </w:p>
    <w:p>
      <w:pPr>
        <w:spacing w:after="0" w:line="140" w:lineRule="exact"/>
        <w:rPr>
          <w:rFonts w:ascii="Arial" w:cs="Arial" w:eastAsia="Arial" w:hAnsi="Arial"/>
          <w:sz w:val="18"/>
          <w:szCs w:val="18"/>
          <w:color w:val="202124"/>
        </w:rPr>
      </w:pPr>
    </w:p>
    <w:p>
      <w:pPr>
        <w:ind w:left="640" w:right="20" w:firstLine="652"/>
        <w:spacing w:after="0" w:line="245" w:lineRule="auto"/>
        <w:tabs>
          <w:tab w:leader="none" w:pos="1936" w:val="left"/>
        </w:tabs>
        <w:numPr>
          <w:ilvl w:val="1"/>
          <w:numId w:val="112"/>
        </w:numPr>
        <w:rPr>
          <w:rFonts w:ascii="Arial" w:cs="Arial" w:eastAsia="Arial" w:hAnsi="Arial"/>
          <w:sz w:val="18"/>
          <w:szCs w:val="18"/>
          <w:color w:val="202124"/>
        </w:rPr>
      </w:pPr>
      <w:r>
        <w:rPr>
          <w:rFonts w:ascii="Arial" w:cs="Arial" w:eastAsia="Arial" w:hAnsi="Arial"/>
          <w:sz w:val="18"/>
          <w:szCs w:val="18"/>
          <w:color w:val="202124"/>
        </w:rPr>
        <w:t>Changes in Payroll Authorization. The payroll deduction authorization referred to in subparagraph (b) may only be changed during the enrollment period described in subparagraph (b) and may not be changed during the Option Period, except as provided in paragraph 5.</w:t>
      </w:r>
    </w:p>
    <w:p>
      <w:pPr>
        <w:spacing w:after="0" w:line="135" w:lineRule="exact"/>
        <w:rPr>
          <w:rFonts w:ascii="Arial" w:cs="Arial" w:eastAsia="Arial" w:hAnsi="Arial"/>
          <w:sz w:val="18"/>
          <w:szCs w:val="18"/>
          <w:color w:val="202124"/>
        </w:rPr>
      </w:pPr>
    </w:p>
    <w:p>
      <w:pPr>
        <w:ind w:left="640" w:right="140" w:firstLine="652"/>
        <w:spacing w:after="0"/>
        <w:tabs>
          <w:tab w:leader="none" w:pos="1936" w:val="left"/>
        </w:tabs>
        <w:numPr>
          <w:ilvl w:val="1"/>
          <w:numId w:val="112"/>
        </w:numPr>
        <w:rPr>
          <w:rFonts w:ascii="Arial" w:cs="Arial" w:eastAsia="Arial" w:hAnsi="Arial"/>
          <w:sz w:val="18"/>
          <w:szCs w:val="18"/>
          <w:color w:val="202124"/>
        </w:rPr>
      </w:pPr>
      <w:r>
        <w:rPr>
          <w:rFonts w:ascii="Arial" w:cs="Arial" w:eastAsia="Arial" w:hAnsi="Arial"/>
          <w:sz w:val="18"/>
          <w:szCs w:val="18"/>
          <w:color w:val="202124"/>
        </w:rPr>
        <w:t>$25,000 Limitation. Notwithstanding anything to the contrary contained herein, no Participant shall be permitted to purchase shares of Stock under the Plan or under any other employee stock purchase plan of the Company or of a Parent or Subsidiary of the Company which is intended to qualify under Section 423 of the Code, at a rate which exceeds $25,000 in fair market value of the shares of Stock (determined at the time the option is granted) for each calendar year in which any such option granted to such Participant is outstanding at any time.</w:t>
      </w:r>
    </w:p>
    <w:p>
      <w:pPr>
        <w:spacing w:after="0" w:line="139" w:lineRule="exact"/>
        <w:rPr>
          <w:rFonts w:ascii="Arial" w:cs="Arial" w:eastAsia="Arial" w:hAnsi="Arial"/>
          <w:sz w:val="18"/>
          <w:szCs w:val="18"/>
          <w:color w:val="202124"/>
        </w:rPr>
      </w:pPr>
    </w:p>
    <w:p>
      <w:pPr>
        <w:ind w:left="1300" w:hanging="656"/>
        <w:spacing w:after="0"/>
        <w:tabs>
          <w:tab w:leader="none" w:pos="1300" w:val="left"/>
        </w:tabs>
        <w:numPr>
          <w:ilvl w:val="0"/>
          <w:numId w:val="112"/>
        </w:numPr>
        <w:rPr>
          <w:rFonts w:ascii="Arial" w:cs="Arial" w:eastAsia="Arial" w:hAnsi="Arial"/>
          <w:sz w:val="18"/>
          <w:szCs w:val="18"/>
          <w:b w:val="1"/>
          <w:bCs w:val="1"/>
          <w:color w:val="202124"/>
        </w:rPr>
      </w:pPr>
      <w:r>
        <w:rPr>
          <w:rFonts w:ascii="Arial" w:cs="Arial" w:eastAsia="Arial" w:hAnsi="Arial"/>
          <w:sz w:val="18"/>
          <w:szCs w:val="18"/>
          <w:b w:val="1"/>
          <w:bCs w:val="1"/>
          <w:color w:val="202124"/>
        </w:rPr>
        <w:t>EXERCISE OF OPTIONS</w:t>
      </w:r>
    </w:p>
    <w:p>
      <w:pPr>
        <w:spacing w:after="0" w:line="171" w:lineRule="exact"/>
        <w:rPr>
          <w:rFonts w:ascii="Arial" w:cs="Arial" w:eastAsia="Arial" w:hAnsi="Arial"/>
          <w:sz w:val="18"/>
          <w:szCs w:val="18"/>
          <w:b w:val="1"/>
          <w:bCs w:val="1"/>
          <w:color w:val="202124"/>
        </w:rPr>
      </w:pPr>
    </w:p>
    <w:p>
      <w:pPr>
        <w:jc w:val="both"/>
        <w:ind w:left="640" w:right="80" w:firstLine="652"/>
        <w:spacing w:after="0" w:line="245" w:lineRule="auto"/>
        <w:tabs>
          <w:tab w:leader="none" w:pos="1936" w:val="left"/>
        </w:tabs>
        <w:numPr>
          <w:ilvl w:val="1"/>
          <w:numId w:val="112"/>
        </w:numPr>
        <w:rPr>
          <w:rFonts w:ascii="Arial" w:cs="Arial" w:eastAsia="Arial" w:hAnsi="Arial"/>
          <w:sz w:val="18"/>
          <w:szCs w:val="18"/>
          <w:color w:val="202124"/>
        </w:rPr>
      </w:pPr>
      <w:r>
        <w:rPr>
          <w:rFonts w:ascii="Arial" w:cs="Arial" w:eastAsia="Arial" w:hAnsi="Arial"/>
          <w:sz w:val="18"/>
          <w:szCs w:val="18"/>
          <w:color w:val="202124"/>
        </w:rPr>
        <w:t>General Statement. Each Participant automatically will be deemed to have exercised the Option on each Date of Exercise to the extent that the balance then in the Participant’s account under the Plan is sufficient to purchase at the Option Price shares of the Stock (including fractional shares of Stock) subject to the Option.</w:t>
      </w:r>
    </w:p>
    <w:p>
      <w:pPr>
        <w:spacing w:after="0" w:line="135" w:lineRule="exact"/>
        <w:rPr>
          <w:rFonts w:ascii="Arial" w:cs="Arial" w:eastAsia="Arial" w:hAnsi="Arial"/>
          <w:sz w:val="18"/>
          <w:szCs w:val="18"/>
          <w:color w:val="202124"/>
        </w:rPr>
      </w:pPr>
    </w:p>
    <w:p>
      <w:pPr>
        <w:ind w:left="640" w:firstLine="652"/>
        <w:spacing w:after="0" w:line="233" w:lineRule="auto"/>
        <w:tabs>
          <w:tab w:leader="none" w:pos="1936" w:val="left"/>
        </w:tabs>
        <w:numPr>
          <w:ilvl w:val="1"/>
          <w:numId w:val="112"/>
        </w:numPr>
        <w:rPr>
          <w:rFonts w:ascii="Arial" w:cs="Arial" w:eastAsia="Arial" w:hAnsi="Arial"/>
          <w:sz w:val="18"/>
          <w:szCs w:val="18"/>
          <w:color w:val="202124"/>
        </w:rPr>
      </w:pPr>
      <w:r>
        <w:rPr>
          <w:rFonts w:ascii="Arial" w:cs="Arial" w:eastAsia="Arial" w:hAnsi="Arial"/>
          <w:sz w:val="18"/>
          <w:szCs w:val="18"/>
          <w:color w:val="202124"/>
        </w:rPr>
        <w:t>Option Price Defined. The option price per share of the Stock (the “Option Price”) to be paid by each Participant on each exercise of the Option shall be an amount equal to the lesser of (y) 85% of the fair market value of a share of Stock on the Date of Grant or (z) 85% of the fair market value of a share of Stock on the Date of Exercise. The fair market value of a share of Stock as of a given date shall be: (i) the closing price of a share of Stock on the principal exchange on which the Stock is then trading, if any, on such date, or, if the Stock was not traded on such date, then on the next preceding trading day during which a sale occurred; or (ii) if such Stock is not traded on an exchange but is quoted on NASDAQ or a successor quotation system, (1) the last sales price (if the Stock is then listed as a National Market Issue under the NASD National Market System) or (2) the mean between the closing representative bid and asked prices (in all other cases) for the Stock on such date as reported by NASDAQ or such successor quotation system; or (iii) if such Stock is not publicly traded on an exchange and not quoted on NASDAQ or a successor quotation system, the mean between the closing bid and asked prices for the Stock on such date as determined in good faith by the Committee; or (iv) if the Stock is not publicly traded, the fair market value established by the Committee acting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A-3</w:t>
            </w:r>
          </w:p>
        </w:tc>
      </w:tr>
    </w:tbl>
    <w:p>
      <w:pPr>
        <w:sectPr>
          <w:pgSz w:w="11900" w:h="16838" w:orient="portrait"/>
          <w:cols w:equalWidth="0" w:num="1">
            <w:col w:w="10360"/>
          </w:cols>
          <w:pgMar w:left="440" w:top="106" w:right="1099" w:bottom="1440" w:gutter="0" w:footer="0" w:header="0"/>
        </w:sectPr>
      </w:pPr>
    </w:p>
    <w:bookmarkStart w:id="86" w:name="page87"/>
    <w:bookmarkEnd w:id="8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40" w:firstLine="652"/>
        <w:spacing w:after="0" w:line="234" w:lineRule="auto"/>
        <w:tabs>
          <w:tab w:leader="none" w:pos="1936" w:val="left"/>
        </w:tabs>
        <w:numPr>
          <w:ilvl w:val="1"/>
          <w:numId w:val="113"/>
        </w:numPr>
        <w:rPr>
          <w:rFonts w:ascii="Arial" w:cs="Arial" w:eastAsia="Arial" w:hAnsi="Arial"/>
          <w:sz w:val="18"/>
          <w:szCs w:val="18"/>
          <w:color w:val="202124"/>
        </w:rPr>
      </w:pPr>
      <w:r>
        <w:rPr>
          <w:rFonts w:ascii="Arial" w:cs="Arial" w:eastAsia="Arial" w:hAnsi="Arial"/>
          <w:sz w:val="18"/>
          <w:szCs w:val="18"/>
          <w:color w:val="202124"/>
        </w:rPr>
        <w:t>Share Issuances. As soon as reasonably practicable after each Date of Exercise on which a purchase of shares of Stock occurs, the Company will arrange for the delivery to each Participant the shares purchased upon exercise of his or her Option in a form determined by the Committee (in its sole discretion) and pursuant to rules established by the Committee.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paragraph 4(c).</w:t>
      </w:r>
    </w:p>
    <w:p>
      <w:pPr>
        <w:spacing w:after="0" w:line="141" w:lineRule="exact"/>
        <w:rPr>
          <w:rFonts w:ascii="Arial" w:cs="Arial" w:eastAsia="Arial" w:hAnsi="Arial"/>
          <w:sz w:val="18"/>
          <w:szCs w:val="18"/>
          <w:color w:val="202124"/>
        </w:rPr>
      </w:pPr>
    </w:p>
    <w:p>
      <w:pPr>
        <w:ind w:left="640" w:right="300" w:firstLine="652"/>
        <w:spacing w:after="0" w:line="245" w:lineRule="auto"/>
        <w:tabs>
          <w:tab w:leader="none" w:pos="1936" w:val="left"/>
        </w:tabs>
        <w:numPr>
          <w:ilvl w:val="1"/>
          <w:numId w:val="113"/>
        </w:numPr>
        <w:rPr>
          <w:rFonts w:ascii="Arial" w:cs="Arial" w:eastAsia="Arial" w:hAnsi="Arial"/>
          <w:sz w:val="18"/>
          <w:szCs w:val="18"/>
          <w:color w:val="202124"/>
        </w:rPr>
      </w:pPr>
      <w:r>
        <w:rPr>
          <w:rFonts w:ascii="Arial" w:cs="Arial" w:eastAsia="Arial" w:hAnsi="Arial"/>
          <w:sz w:val="18"/>
          <w:szCs w:val="18"/>
          <w:color w:val="202124"/>
        </w:rPr>
        <w:t>Restriction on Sale of Stock. For all Options exercised under the Plan, a Participant shall not sell any shares of Stock purchased under the Plan until after the first to occur of: (1) the first anniversary of the Option exercise date, or (2) the Participant’s termination of employment</w:t>
      </w:r>
    </w:p>
    <w:p>
      <w:pPr>
        <w:spacing w:after="0" w:line="135" w:lineRule="exact"/>
        <w:rPr>
          <w:rFonts w:ascii="Arial" w:cs="Arial" w:eastAsia="Arial" w:hAnsi="Arial"/>
          <w:sz w:val="18"/>
          <w:szCs w:val="18"/>
          <w:color w:val="202124"/>
        </w:rPr>
      </w:pPr>
    </w:p>
    <w:p>
      <w:pPr>
        <w:ind w:left="1300" w:hanging="656"/>
        <w:spacing w:after="0"/>
        <w:tabs>
          <w:tab w:leader="none" w:pos="1300" w:val="left"/>
        </w:tabs>
        <w:numPr>
          <w:ilvl w:val="0"/>
          <w:numId w:val="114"/>
        </w:numPr>
        <w:rPr>
          <w:rFonts w:ascii="Arial" w:cs="Arial" w:eastAsia="Arial" w:hAnsi="Arial"/>
          <w:sz w:val="18"/>
          <w:szCs w:val="18"/>
          <w:b w:val="1"/>
          <w:bCs w:val="1"/>
          <w:color w:val="202124"/>
        </w:rPr>
      </w:pPr>
      <w:r>
        <w:rPr>
          <w:rFonts w:ascii="Arial" w:cs="Arial" w:eastAsia="Arial" w:hAnsi="Arial"/>
          <w:sz w:val="18"/>
          <w:szCs w:val="18"/>
          <w:b w:val="1"/>
          <w:bCs w:val="1"/>
          <w:color w:val="202124"/>
        </w:rPr>
        <w:t>WITHDRAWAL FROM THE PLAN</w:t>
      </w:r>
    </w:p>
    <w:p>
      <w:pPr>
        <w:spacing w:after="0" w:line="171" w:lineRule="exact"/>
        <w:rPr>
          <w:rFonts w:ascii="Arial" w:cs="Arial" w:eastAsia="Arial" w:hAnsi="Arial"/>
          <w:sz w:val="18"/>
          <w:szCs w:val="18"/>
          <w:b w:val="1"/>
          <w:bCs w:val="1"/>
          <w:color w:val="202124"/>
        </w:rPr>
      </w:pPr>
    </w:p>
    <w:p>
      <w:pPr>
        <w:ind w:left="640" w:right="100" w:firstLine="652"/>
        <w:spacing w:after="0" w:line="236" w:lineRule="auto"/>
        <w:tabs>
          <w:tab w:leader="none" w:pos="1936" w:val="left"/>
        </w:tabs>
        <w:numPr>
          <w:ilvl w:val="1"/>
          <w:numId w:val="114"/>
        </w:numPr>
        <w:rPr>
          <w:rFonts w:ascii="Arial" w:cs="Arial" w:eastAsia="Arial" w:hAnsi="Arial"/>
          <w:sz w:val="18"/>
          <w:szCs w:val="18"/>
          <w:color w:val="202124"/>
        </w:rPr>
      </w:pPr>
      <w:r>
        <w:rPr>
          <w:rFonts w:ascii="Arial" w:cs="Arial" w:eastAsia="Arial" w:hAnsi="Arial"/>
          <w:sz w:val="18"/>
          <w:szCs w:val="18"/>
          <w:color w:val="202124"/>
        </w:rPr>
        <w:t>General Statement. Any Participant may withdraw from the Plan at any time. A Participant who wishes to withdraw from the Plan must deliver to the Company a notice of withdrawal in in the form and manner specified by the Company. The Company, as soon as practicable following receipt of a Participant’s notice of withdrawal, will refund to the Participant the amount of the balance in the account under the Plan (including, but not limited to, any balance that is sufficient only to purchase fractional shares of Stock). Upon receipt of a Participant’s notice of withdrawal from the Plan, automatically and without any further action by the Participant, the payroll deduction authorization, any interest in the Plan, and any Option under the Plan shall terminate.</w:t>
      </w:r>
    </w:p>
    <w:p>
      <w:pPr>
        <w:spacing w:after="0" w:line="141" w:lineRule="exact"/>
        <w:rPr>
          <w:rFonts w:ascii="Arial" w:cs="Arial" w:eastAsia="Arial" w:hAnsi="Arial"/>
          <w:sz w:val="18"/>
          <w:szCs w:val="18"/>
          <w:color w:val="202124"/>
        </w:rPr>
      </w:pPr>
    </w:p>
    <w:p>
      <w:pPr>
        <w:ind w:left="640" w:right="40" w:firstLine="652"/>
        <w:spacing w:after="0" w:line="241" w:lineRule="auto"/>
        <w:tabs>
          <w:tab w:leader="none" w:pos="1936" w:val="left"/>
        </w:tabs>
        <w:numPr>
          <w:ilvl w:val="1"/>
          <w:numId w:val="114"/>
        </w:numPr>
        <w:rPr>
          <w:rFonts w:ascii="Arial" w:cs="Arial" w:eastAsia="Arial" w:hAnsi="Arial"/>
          <w:sz w:val="18"/>
          <w:szCs w:val="18"/>
          <w:color w:val="202124"/>
        </w:rPr>
      </w:pPr>
      <w:r>
        <w:rPr>
          <w:rFonts w:ascii="Arial" w:cs="Arial" w:eastAsia="Arial" w:hAnsi="Arial"/>
          <w:sz w:val="18"/>
          <w:szCs w:val="18"/>
          <w:color w:val="202124"/>
        </w:rPr>
        <w:t>Participation Following Withdrawal. A Participant who withdraws from the Plan may participate again in the Plan on the next January 1, April 1, July 1, or October 1 immediately following the date of withdrawal, or on such other days as may be determined by the Committee, provided that the Eligible Employee properly elects to participate in accordance with paragraph 3(b).</w:t>
      </w:r>
    </w:p>
    <w:p>
      <w:pPr>
        <w:spacing w:after="0" w:line="140" w:lineRule="exact"/>
        <w:rPr>
          <w:rFonts w:ascii="Arial" w:cs="Arial" w:eastAsia="Arial" w:hAnsi="Arial"/>
          <w:sz w:val="18"/>
          <w:szCs w:val="18"/>
          <w:color w:val="202124"/>
        </w:rPr>
      </w:pPr>
    </w:p>
    <w:p>
      <w:pPr>
        <w:ind w:left="640" w:right="500" w:firstLine="652"/>
        <w:spacing w:after="0" w:line="256" w:lineRule="auto"/>
        <w:tabs>
          <w:tab w:leader="none" w:pos="1936" w:val="left"/>
        </w:tabs>
        <w:numPr>
          <w:ilvl w:val="1"/>
          <w:numId w:val="114"/>
        </w:numPr>
        <w:rPr>
          <w:rFonts w:ascii="Arial" w:cs="Arial" w:eastAsia="Arial" w:hAnsi="Arial"/>
          <w:sz w:val="18"/>
          <w:szCs w:val="18"/>
          <w:color w:val="202124"/>
        </w:rPr>
      </w:pPr>
      <w:r>
        <w:rPr>
          <w:rFonts w:ascii="Arial" w:cs="Arial" w:eastAsia="Arial" w:hAnsi="Arial"/>
          <w:sz w:val="18"/>
          <w:szCs w:val="18"/>
          <w:color w:val="202124"/>
        </w:rPr>
        <w:t>Stock Subject to Plan. Notwithstanding a Participant’s withdrawal from the Plan, any Stock acquired under the Plan shall remain subject to the terms of the Plan.</w:t>
      </w:r>
    </w:p>
    <w:p>
      <w:pPr>
        <w:spacing w:after="0" w:line="125" w:lineRule="exact"/>
        <w:rPr>
          <w:rFonts w:ascii="Arial" w:cs="Arial" w:eastAsia="Arial" w:hAnsi="Arial"/>
          <w:sz w:val="18"/>
          <w:szCs w:val="18"/>
          <w:color w:val="202124"/>
        </w:rPr>
      </w:pPr>
    </w:p>
    <w:p>
      <w:pPr>
        <w:ind w:left="1300" w:hanging="656"/>
        <w:spacing w:after="0"/>
        <w:tabs>
          <w:tab w:leader="none" w:pos="1300" w:val="left"/>
        </w:tabs>
        <w:numPr>
          <w:ilvl w:val="0"/>
          <w:numId w:val="114"/>
        </w:numPr>
        <w:rPr>
          <w:rFonts w:ascii="Arial" w:cs="Arial" w:eastAsia="Arial" w:hAnsi="Arial"/>
          <w:sz w:val="18"/>
          <w:szCs w:val="18"/>
          <w:b w:val="1"/>
          <w:bCs w:val="1"/>
          <w:color w:val="202124"/>
        </w:rPr>
      </w:pPr>
      <w:r>
        <w:rPr>
          <w:rFonts w:ascii="Arial" w:cs="Arial" w:eastAsia="Arial" w:hAnsi="Arial"/>
          <w:sz w:val="18"/>
          <w:szCs w:val="18"/>
          <w:b w:val="1"/>
          <w:bCs w:val="1"/>
          <w:color w:val="202124"/>
        </w:rPr>
        <w:t>TERMINATION OF EMPLOYMENT</w:t>
      </w:r>
    </w:p>
    <w:p>
      <w:pPr>
        <w:spacing w:after="0" w:line="171" w:lineRule="exact"/>
        <w:rPr>
          <w:rFonts w:ascii="Arial" w:cs="Arial" w:eastAsia="Arial" w:hAnsi="Arial"/>
          <w:sz w:val="18"/>
          <w:szCs w:val="18"/>
          <w:b w:val="1"/>
          <w:bCs w:val="1"/>
          <w:color w:val="202124"/>
        </w:rPr>
      </w:pPr>
    </w:p>
    <w:p>
      <w:pPr>
        <w:ind w:left="640" w:right="20" w:firstLine="652"/>
        <w:spacing w:after="0"/>
        <w:tabs>
          <w:tab w:leader="none" w:pos="1936" w:val="left"/>
        </w:tabs>
        <w:numPr>
          <w:ilvl w:val="1"/>
          <w:numId w:val="114"/>
        </w:numPr>
        <w:rPr>
          <w:rFonts w:ascii="Arial" w:cs="Arial" w:eastAsia="Arial" w:hAnsi="Arial"/>
          <w:sz w:val="18"/>
          <w:szCs w:val="18"/>
          <w:color w:val="202124"/>
        </w:rPr>
      </w:pPr>
      <w:r>
        <w:rPr>
          <w:rFonts w:ascii="Arial" w:cs="Arial" w:eastAsia="Arial" w:hAnsi="Arial"/>
          <w:sz w:val="18"/>
          <w:szCs w:val="18"/>
          <w:color w:val="202124"/>
        </w:rPr>
        <w:t>Termination of Employment Other Than By Retirement or Death. If the employment of a Participant terminates other than by retirement or death, participation in the Plan automatically shall terminate as of the date of the termination of employment. As soon as practicable after such a Participant’s termination of employment, the Company will refund the amount of the balance in that account under the Plan. Upon a Participant’s termination of employment, any interest in the Plan and any Option under the Plan shall terminate.</w:t>
      </w:r>
    </w:p>
    <w:p>
      <w:pPr>
        <w:spacing w:after="0" w:line="139" w:lineRule="exact"/>
        <w:rPr>
          <w:rFonts w:ascii="Arial" w:cs="Arial" w:eastAsia="Arial" w:hAnsi="Arial"/>
          <w:sz w:val="18"/>
          <w:szCs w:val="18"/>
          <w:color w:val="202124"/>
        </w:rPr>
      </w:pPr>
    </w:p>
    <w:p>
      <w:pPr>
        <w:ind w:left="640" w:firstLine="652"/>
        <w:spacing w:after="0" w:line="236" w:lineRule="auto"/>
        <w:tabs>
          <w:tab w:leader="none" w:pos="1936" w:val="left"/>
        </w:tabs>
        <w:numPr>
          <w:ilvl w:val="1"/>
          <w:numId w:val="114"/>
        </w:numPr>
        <w:rPr>
          <w:rFonts w:ascii="Arial" w:cs="Arial" w:eastAsia="Arial" w:hAnsi="Arial"/>
          <w:sz w:val="18"/>
          <w:szCs w:val="18"/>
          <w:color w:val="202124"/>
        </w:rPr>
      </w:pPr>
      <w:r>
        <w:rPr>
          <w:rFonts w:ascii="Arial" w:cs="Arial" w:eastAsia="Arial" w:hAnsi="Arial"/>
          <w:sz w:val="18"/>
          <w:szCs w:val="18"/>
          <w:color w:val="202124"/>
        </w:rPr>
        <w:t>Termination by Retirement. A Participant who retires on a normal retirement date, or earlier or later with the consent of the Company, may by written notice to the Company request payment in cash or cash equivalent of the balance in the Participant’s account under the Plan, in which event the Company shall make such payment without any interest thereon as soon as practicable after receiving such notice. Upon receipt of such notice, the Participant’s interest in the Plan and any Option under the Plan shall terminate. If the Company does not receive such notice prior to the next Date of Exercise, such Participant’s Option shall be deemed to have been exercised on such Date of Exercise.</w:t>
      </w:r>
    </w:p>
    <w:p>
      <w:pPr>
        <w:spacing w:after="0" w:line="142" w:lineRule="exact"/>
        <w:rPr>
          <w:rFonts w:ascii="Arial" w:cs="Arial" w:eastAsia="Arial" w:hAnsi="Arial"/>
          <w:sz w:val="18"/>
          <w:szCs w:val="18"/>
          <w:color w:val="202124"/>
        </w:rPr>
      </w:pPr>
    </w:p>
    <w:p>
      <w:pPr>
        <w:ind w:left="640" w:right="60" w:firstLine="652"/>
        <w:spacing w:after="0" w:line="236" w:lineRule="auto"/>
        <w:tabs>
          <w:tab w:leader="none" w:pos="1936" w:val="left"/>
        </w:tabs>
        <w:numPr>
          <w:ilvl w:val="1"/>
          <w:numId w:val="114"/>
        </w:numPr>
        <w:rPr>
          <w:rFonts w:ascii="Arial" w:cs="Arial" w:eastAsia="Arial" w:hAnsi="Arial"/>
          <w:sz w:val="18"/>
          <w:szCs w:val="18"/>
          <w:color w:val="202124"/>
        </w:rPr>
      </w:pPr>
      <w:r>
        <w:rPr>
          <w:rFonts w:ascii="Arial" w:cs="Arial" w:eastAsia="Arial" w:hAnsi="Arial"/>
          <w:sz w:val="18"/>
          <w:szCs w:val="18"/>
          <w:color w:val="202124"/>
        </w:rPr>
        <w:t>Termination By Death. If the employment of a Participant is terminated by Participant’s death, the executor of the Participant’s will or the administrator of the Participant’s estate by written notice to the Company may request payment in cash or cash equivalent of the balance in the Participant’s account under the Plan, in which event the Company shall make such payment without any interest thereon as soon as practicable after receiving such notice. Upon receipt of such notice, the Participant’s interest in the Plan and any Option under the Plan shall terminate. If the Company does not receive such notice prior to the next Date of Exercise, such Participant’s Option shall be deemed to have been exercised on such Date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A-4  </w:t>
      </w:r>
      <w:r>
        <w:rPr>
          <w:sz w:val="1"/>
          <w:szCs w:val="1"/>
          <w:color w:val="auto"/>
        </w:rPr>
        <w:drawing>
          <wp:inline distT="0" distB="0" distL="0" distR="0">
            <wp:extent cx="1165860"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87" w:name="page88"/>
    <w:bookmarkEnd w:id="8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hanging="656"/>
        <w:spacing w:after="0"/>
        <w:tabs>
          <w:tab w:leader="none" w:pos="1300" w:val="left"/>
        </w:tabs>
        <w:numPr>
          <w:ilvl w:val="0"/>
          <w:numId w:val="115"/>
        </w:numPr>
        <w:rPr>
          <w:rFonts w:ascii="Arial" w:cs="Arial" w:eastAsia="Arial" w:hAnsi="Arial"/>
          <w:sz w:val="18"/>
          <w:szCs w:val="18"/>
          <w:b w:val="1"/>
          <w:bCs w:val="1"/>
          <w:color w:val="202124"/>
        </w:rPr>
      </w:pPr>
      <w:r>
        <w:rPr>
          <w:rFonts w:ascii="Arial" w:cs="Arial" w:eastAsia="Arial" w:hAnsi="Arial"/>
          <w:sz w:val="18"/>
          <w:szCs w:val="18"/>
          <w:b w:val="1"/>
          <w:bCs w:val="1"/>
          <w:color w:val="202124"/>
        </w:rPr>
        <w:t>RESTRICTION UPON ASSIGNMENT</w:t>
      </w:r>
    </w:p>
    <w:p>
      <w:pPr>
        <w:spacing w:after="0" w:line="171" w:lineRule="exact"/>
        <w:rPr>
          <w:sz w:val="20"/>
          <w:szCs w:val="20"/>
          <w:color w:val="auto"/>
        </w:rPr>
      </w:pPr>
    </w:p>
    <w:p>
      <w:pPr>
        <w:jc w:val="both"/>
        <w:ind w:left="640" w:right="100" w:firstLine="648"/>
        <w:spacing w:after="0" w:line="237" w:lineRule="auto"/>
        <w:rPr>
          <w:sz w:val="20"/>
          <w:szCs w:val="20"/>
          <w:color w:val="auto"/>
        </w:rPr>
      </w:pPr>
      <w:r>
        <w:rPr>
          <w:rFonts w:ascii="Arial" w:cs="Arial" w:eastAsia="Arial" w:hAnsi="Arial"/>
          <w:sz w:val="18"/>
          <w:szCs w:val="18"/>
          <w:color w:val="202124"/>
        </w:rPr>
        <w:t>No Option or interest or right therein or part thereof shall be liable for the debts, contracts or engagements of any Participant or any successor in interest, nor shall any Option be subject to disposition by transfer, alienation, anticipation,</w:t>
      </w:r>
    </w:p>
    <w:p>
      <w:pPr>
        <w:jc w:val="center"/>
        <w:ind w:right="40"/>
        <w:spacing w:after="0" w:line="235" w:lineRule="auto"/>
        <w:rPr>
          <w:sz w:val="20"/>
          <w:szCs w:val="20"/>
          <w:color w:val="auto"/>
        </w:rPr>
      </w:pPr>
      <w:r>
        <w:rPr>
          <w:rFonts w:ascii="Arial" w:cs="Arial" w:eastAsia="Arial" w:hAnsi="Arial"/>
          <w:sz w:val="18"/>
          <w:szCs w:val="18"/>
          <w:color w:val="202124"/>
        </w:rPr>
        <w:t>pledge, encumbrance, assignment or any other means, whether such disposition be voluntary or involuntary or by</w:t>
      </w:r>
    </w:p>
    <w:p>
      <w:pPr>
        <w:spacing w:after="0" w:line="1" w:lineRule="exact"/>
        <w:rPr>
          <w:sz w:val="20"/>
          <w:szCs w:val="20"/>
          <w:color w:val="auto"/>
        </w:rPr>
      </w:pPr>
    </w:p>
    <w:p>
      <w:pPr>
        <w:ind w:left="640" w:right="200"/>
        <w:spacing w:after="0"/>
        <w:rPr>
          <w:sz w:val="20"/>
          <w:szCs w:val="20"/>
          <w:color w:val="auto"/>
        </w:rPr>
      </w:pPr>
      <w:r>
        <w:rPr>
          <w:rFonts w:ascii="Arial" w:cs="Arial" w:eastAsia="Arial" w:hAnsi="Arial"/>
          <w:sz w:val="17"/>
          <w:szCs w:val="17"/>
          <w:color w:val="202124"/>
        </w:rPr>
        <w:t>operation of law by judgment, levy, attachment, garnishment or any other legal or equitable proceedings (including bankruptcy), and attempted disposition thereof shall be null and void and of no effect; provided, however, that nothing in</w:t>
      </w:r>
    </w:p>
    <w:p>
      <w:pPr>
        <w:ind w:left="640"/>
        <w:spacing w:after="0" w:line="235" w:lineRule="auto"/>
        <w:rPr>
          <w:sz w:val="20"/>
          <w:szCs w:val="20"/>
          <w:color w:val="auto"/>
        </w:rPr>
      </w:pPr>
      <w:r>
        <w:rPr>
          <w:rFonts w:ascii="Arial" w:cs="Arial" w:eastAsia="Arial" w:hAnsi="Arial"/>
          <w:sz w:val="18"/>
          <w:szCs w:val="18"/>
          <w:color w:val="202124"/>
        </w:rPr>
        <w:t>this paragraph 7 shall prevent transfers by will or by the applicable laws of descent and distribution. Except as provided in</w:t>
      </w:r>
    </w:p>
    <w:p>
      <w:pPr>
        <w:ind w:left="640" w:right="160"/>
        <w:spacing w:after="0" w:line="226" w:lineRule="auto"/>
        <w:rPr>
          <w:sz w:val="20"/>
          <w:szCs w:val="20"/>
          <w:color w:val="auto"/>
        </w:rPr>
      </w:pPr>
      <w:r>
        <w:rPr>
          <w:rFonts w:ascii="Arial" w:cs="Arial" w:eastAsia="Arial" w:hAnsi="Arial"/>
          <w:sz w:val="18"/>
          <w:szCs w:val="18"/>
          <w:color w:val="202124"/>
        </w:rPr>
        <w:t>paragraph 6(c), an Option may not be exercised to any extent except by the Participant. The Committee may require the Participant to give the Company prompt notice of any disposition of shares of Stock acquired by exercise of an Option</w:t>
      </w:r>
    </w:p>
    <w:p>
      <w:pPr>
        <w:ind w:left="640"/>
        <w:spacing w:after="0" w:line="236" w:lineRule="auto"/>
        <w:rPr>
          <w:sz w:val="20"/>
          <w:szCs w:val="20"/>
          <w:color w:val="auto"/>
        </w:rPr>
      </w:pPr>
      <w:r>
        <w:rPr>
          <w:rFonts w:ascii="Arial" w:cs="Arial" w:eastAsia="Arial" w:hAnsi="Arial"/>
          <w:sz w:val="18"/>
          <w:szCs w:val="18"/>
          <w:color w:val="202124"/>
        </w:rPr>
        <w:t>within two years from the date of granting such Option or one year after the transfer of such shares to such Participant.</w:t>
      </w:r>
    </w:p>
    <w:p>
      <w:pPr>
        <w:spacing w:after="0" w:line="1" w:lineRule="exact"/>
        <w:rPr>
          <w:sz w:val="20"/>
          <w:szCs w:val="20"/>
          <w:color w:val="auto"/>
        </w:rPr>
      </w:pPr>
    </w:p>
    <w:p>
      <w:pPr>
        <w:ind w:left="640" w:right="640"/>
        <w:spacing w:after="0" w:line="237" w:lineRule="auto"/>
        <w:rPr>
          <w:sz w:val="20"/>
          <w:szCs w:val="20"/>
          <w:color w:val="auto"/>
        </w:rPr>
      </w:pPr>
      <w:r>
        <w:rPr>
          <w:rFonts w:ascii="Arial" w:cs="Arial" w:eastAsia="Arial" w:hAnsi="Arial"/>
          <w:sz w:val="18"/>
          <w:szCs w:val="18"/>
          <w:color w:val="202124"/>
        </w:rPr>
        <w:t>The Committee may require that the certificates evidencing shares acquired by exercise of an Option refer to such requirement to give prompt notice of disposition.</w:t>
      </w:r>
    </w:p>
    <w:p>
      <w:pPr>
        <w:spacing w:after="0" w:line="140" w:lineRule="exact"/>
        <w:rPr>
          <w:sz w:val="20"/>
          <w:szCs w:val="20"/>
          <w:color w:val="auto"/>
        </w:rPr>
      </w:pPr>
    </w:p>
    <w:p>
      <w:pPr>
        <w:ind w:left="1300" w:hanging="656"/>
        <w:spacing w:after="0"/>
        <w:tabs>
          <w:tab w:leader="none" w:pos="1300" w:val="left"/>
        </w:tabs>
        <w:numPr>
          <w:ilvl w:val="0"/>
          <w:numId w:val="116"/>
        </w:numPr>
        <w:rPr>
          <w:rFonts w:ascii="Arial" w:cs="Arial" w:eastAsia="Arial" w:hAnsi="Arial"/>
          <w:sz w:val="18"/>
          <w:szCs w:val="18"/>
          <w:b w:val="1"/>
          <w:bCs w:val="1"/>
          <w:color w:val="202124"/>
        </w:rPr>
      </w:pPr>
      <w:r>
        <w:rPr>
          <w:rFonts w:ascii="Arial" w:cs="Arial" w:eastAsia="Arial" w:hAnsi="Arial"/>
          <w:sz w:val="18"/>
          <w:szCs w:val="18"/>
          <w:b w:val="1"/>
          <w:bCs w:val="1"/>
          <w:color w:val="202124"/>
        </w:rPr>
        <w:t>NO RIGHTS OF STOCKHOLDER UNTIL OPTION IS EXERCISED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202124"/>
        </w:rPr>
        <w:t>With respect to shares of the Stock subject to an Option, a Participant shall not be deemed to be a stockholder of</w:t>
      </w:r>
    </w:p>
    <w:p>
      <w:pPr>
        <w:spacing w:after="0" w:line="14" w:lineRule="exact"/>
        <w:rPr>
          <w:sz w:val="20"/>
          <w:szCs w:val="20"/>
          <w:color w:val="auto"/>
        </w:rPr>
      </w:pPr>
    </w:p>
    <w:p>
      <w:pPr>
        <w:ind w:left="640" w:right="360"/>
        <w:spacing w:after="0" w:line="226" w:lineRule="auto"/>
        <w:rPr>
          <w:sz w:val="20"/>
          <w:szCs w:val="20"/>
          <w:color w:val="auto"/>
        </w:rPr>
      </w:pPr>
      <w:r>
        <w:rPr>
          <w:rFonts w:ascii="Arial" w:cs="Arial" w:eastAsia="Arial" w:hAnsi="Arial"/>
          <w:sz w:val="18"/>
          <w:szCs w:val="18"/>
          <w:color w:val="202124"/>
        </w:rPr>
        <w:t>the Company and shall not have any of the rights or privileges of a stockholder. A Participant shall have the rights and privileges of a stockholder of the Company when, but not until, an Option is exercised; provided, however, that a</w:t>
      </w:r>
    </w:p>
    <w:p>
      <w:pPr>
        <w:spacing w:after="0" w:line="2" w:lineRule="exact"/>
        <w:rPr>
          <w:sz w:val="20"/>
          <w:szCs w:val="20"/>
          <w:color w:val="auto"/>
        </w:rPr>
      </w:pPr>
    </w:p>
    <w:p>
      <w:pPr>
        <w:ind w:left="640" w:right="200"/>
        <w:spacing w:after="0" w:line="250" w:lineRule="auto"/>
        <w:rPr>
          <w:sz w:val="20"/>
          <w:szCs w:val="20"/>
          <w:color w:val="auto"/>
        </w:rPr>
      </w:pPr>
      <w:r>
        <w:rPr>
          <w:rFonts w:ascii="Arial" w:cs="Arial" w:eastAsia="Arial" w:hAnsi="Arial"/>
          <w:sz w:val="18"/>
          <w:szCs w:val="18"/>
          <w:color w:val="202124"/>
        </w:rPr>
        <w:t>Participant shall only have the right to vote whole shares of Stock and shall not have such right with respect to fractional shares.</w:t>
      </w:r>
    </w:p>
    <w:p>
      <w:pPr>
        <w:spacing w:after="0" w:line="131" w:lineRule="exact"/>
        <w:rPr>
          <w:sz w:val="20"/>
          <w:szCs w:val="20"/>
          <w:color w:val="auto"/>
        </w:rPr>
      </w:pPr>
    </w:p>
    <w:p>
      <w:pPr>
        <w:ind w:left="1300" w:hanging="656"/>
        <w:spacing w:after="0"/>
        <w:tabs>
          <w:tab w:leader="none" w:pos="1300" w:val="left"/>
        </w:tabs>
        <w:numPr>
          <w:ilvl w:val="0"/>
          <w:numId w:val="117"/>
        </w:numPr>
        <w:rPr>
          <w:rFonts w:ascii="Arial" w:cs="Arial" w:eastAsia="Arial" w:hAnsi="Arial"/>
          <w:sz w:val="18"/>
          <w:szCs w:val="18"/>
          <w:b w:val="1"/>
          <w:bCs w:val="1"/>
          <w:color w:val="202124"/>
        </w:rPr>
      </w:pPr>
      <w:r>
        <w:rPr>
          <w:rFonts w:ascii="Arial" w:cs="Arial" w:eastAsia="Arial" w:hAnsi="Arial"/>
          <w:sz w:val="18"/>
          <w:szCs w:val="18"/>
          <w:b w:val="1"/>
          <w:bCs w:val="1"/>
          <w:color w:val="202124"/>
        </w:rPr>
        <w:t>CHANGES IN THE STOCK; ADJUSTMENTS OF AN OPTION</w:t>
      </w:r>
    </w:p>
    <w:p>
      <w:pPr>
        <w:spacing w:after="0" w:line="171" w:lineRule="exact"/>
        <w:rPr>
          <w:sz w:val="20"/>
          <w:szCs w:val="20"/>
          <w:color w:val="auto"/>
        </w:rPr>
      </w:pPr>
    </w:p>
    <w:p>
      <w:pPr>
        <w:ind w:left="640" w:right="40" w:firstLine="648"/>
        <w:spacing w:after="0" w:line="251" w:lineRule="auto"/>
        <w:rPr>
          <w:sz w:val="20"/>
          <w:szCs w:val="20"/>
          <w:color w:val="auto"/>
        </w:rPr>
      </w:pPr>
      <w:r>
        <w:rPr>
          <w:rFonts w:ascii="Arial" w:cs="Arial" w:eastAsia="Arial" w:hAnsi="Arial"/>
          <w:sz w:val="17"/>
          <w:szCs w:val="17"/>
          <w:color w:val="202124"/>
        </w:rPr>
        <w:t>Whenever any change is made in the Stock or to Options outstanding under the Plan, by reason of stock dividend or by reason of division, combination or reclassification of shares, appropriate action will be taken by the Committee to</w:t>
      </w:r>
    </w:p>
    <w:p>
      <w:pPr>
        <w:spacing w:after="0" w:line="1"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202124"/>
        </w:rPr>
        <w:t>adjust accordingly the number of shares of the Stock subject to the Plan and the number and the Option Price of shares of the Stock subject to the Options outstanding under the Plan.</w:t>
      </w:r>
    </w:p>
    <w:p>
      <w:pPr>
        <w:spacing w:after="0" w:line="131" w:lineRule="exact"/>
        <w:rPr>
          <w:sz w:val="20"/>
          <w:szCs w:val="20"/>
          <w:color w:val="auto"/>
        </w:rPr>
      </w:pPr>
    </w:p>
    <w:p>
      <w:pPr>
        <w:ind w:left="1300" w:hanging="656"/>
        <w:spacing w:after="0"/>
        <w:tabs>
          <w:tab w:leader="none" w:pos="1300" w:val="left"/>
        </w:tabs>
        <w:numPr>
          <w:ilvl w:val="0"/>
          <w:numId w:val="118"/>
        </w:numPr>
        <w:rPr>
          <w:rFonts w:ascii="Arial" w:cs="Arial" w:eastAsia="Arial" w:hAnsi="Arial"/>
          <w:sz w:val="18"/>
          <w:szCs w:val="18"/>
          <w:b w:val="1"/>
          <w:bCs w:val="1"/>
          <w:color w:val="202124"/>
        </w:rPr>
      </w:pPr>
      <w:r>
        <w:rPr>
          <w:rFonts w:ascii="Arial" w:cs="Arial" w:eastAsia="Arial" w:hAnsi="Arial"/>
          <w:sz w:val="18"/>
          <w:szCs w:val="18"/>
          <w:b w:val="1"/>
          <w:bCs w:val="1"/>
          <w:color w:val="202124"/>
        </w:rPr>
        <w:t>USE OF FUNDS; NO INTEREST PAID</w:t>
      </w:r>
    </w:p>
    <w:p>
      <w:pPr>
        <w:spacing w:after="0" w:line="171" w:lineRule="exact"/>
        <w:rPr>
          <w:sz w:val="20"/>
          <w:szCs w:val="20"/>
          <w:color w:val="auto"/>
        </w:rPr>
      </w:pPr>
    </w:p>
    <w:p>
      <w:pPr>
        <w:ind w:left="640" w:right="80" w:firstLine="648"/>
        <w:spacing w:after="0" w:line="251" w:lineRule="auto"/>
        <w:rPr>
          <w:sz w:val="20"/>
          <w:szCs w:val="20"/>
          <w:color w:val="auto"/>
        </w:rPr>
      </w:pPr>
      <w:r>
        <w:rPr>
          <w:rFonts w:ascii="Arial" w:cs="Arial" w:eastAsia="Arial" w:hAnsi="Arial"/>
          <w:sz w:val="17"/>
          <w:szCs w:val="17"/>
          <w:color w:val="202124"/>
        </w:rPr>
        <w:t>All funds received or held by the Company under the Plan will be included in the general funds of the Company free of any trust or other restriction and may be used for any corporate purpose. No interest will be paid to any Participant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or credited to any account under the Plan with respect to such funds.</w:t>
      </w:r>
    </w:p>
    <w:p>
      <w:pPr>
        <w:spacing w:after="0" w:line="153" w:lineRule="exact"/>
        <w:rPr>
          <w:sz w:val="20"/>
          <w:szCs w:val="20"/>
          <w:color w:val="auto"/>
        </w:rPr>
      </w:pPr>
    </w:p>
    <w:p>
      <w:pPr>
        <w:ind w:left="1300" w:hanging="656"/>
        <w:spacing w:after="0"/>
        <w:tabs>
          <w:tab w:leader="none" w:pos="1300" w:val="left"/>
        </w:tabs>
        <w:numPr>
          <w:ilvl w:val="0"/>
          <w:numId w:val="119"/>
        </w:numPr>
        <w:rPr>
          <w:rFonts w:ascii="Arial" w:cs="Arial" w:eastAsia="Arial" w:hAnsi="Arial"/>
          <w:sz w:val="18"/>
          <w:szCs w:val="18"/>
          <w:b w:val="1"/>
          <w:bCs w:val="1"/>
          <w:color w:val="202124"/>
        </w:rPr>
      </w:pPr>
      <w:r>
        <w:rPr>
          <w:rFonts w:ascii="Arial" w:cs="Arial" w:eastAsia="Arial" w:hAnsi="Arial"/>
          <w:sz w:val="18"/>
          <w:szCs w:val="18"/>
          <w:b w:val="1"/>
          <w:bCs w:val="1"/>
          <w:color w:val="202124"/>
        </w:rPr>
        <w:t>AMENDMENT OF THE PLAN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202124"/>
        </w:rPr>
        <w:t>The Committee may amend, suspend or terminate the Plan at any time and from time to time; provided, however,</w:t>
      </w:r>
    </w:p>
    <w:p>
      <w:pPr>
        <w:spacing w:after="0" w:line="14" w:lineRule="exact"/>
        <w:rPr>
          <w:sz w:val="20"/>
          <w:szCs w:val="20"/>
          <w:color w:val="auto"/>
        </w:rPr>
      </w:pPr>
    </w:p>
    <w:p>
      <w:pPr>
        <w:ind w:left="640" w:right="160"/>
        <w:spacing w:after="0"/>
        <w:rPr>
          <w:sz w:val="20"/>
          <w:szCs w:val="20"/>
          <w:color w:val="auto"/>
        </w:rPr>
      </w:pPr>
      <w:r>
        <w:rPr>
          <w:rFonts w:ascii="Arial" w:cs="Arial" w:eastAsia="Arial" w:hAnsi="Arial"/>
          <w:sz w:val="17"/>
          <w:szCs w:val="17"/>
          <w:color w:val="202124"/>
        </w:rPr>
        <w:t>that the provisions in paragraphs 1(e), 1(h), 3(a), 3(d), and 4(b) may not be amended more than once every six months, other than to comport with changes in the Code, the Employee Retirement Income Security Act of 1974, as amended, or</w:t>
      </w:r>
    </w:p>
    <w:p>
      <w:pPr>
        <w:ind w:left="640"/>
        <w:spacing w:after="0" w:line="235" w:lineRule="auto"/>
        <w:rPr>
          <w:sz w:val="20"/>
          <w:szCs w:val="20"/>
          <w:color w:val="auto"/>
        </w:rPr>
      </w:pPr>
      <w:r>
        <w:rPr>
          <w:rFonts w:ascii="Arial" w:cs="Arial" w:eastAsia="Arial" w:hAnsi="Arial"/>
          <w:sz w:val="18"/>
          <w:szCs w:val="18"/>
          <w:color w:val="202124"/>
        </w:rPr>
        <w:t>the rules thereunder; and provided further, that approval by the vote of the holders of more than 50% of the outstanding</w:t>
      </w:r>
    </w:p>
    <w:p>
      <w:pPr>
        <w:ind w:left="640" w:right="20"/>
        <w:spacing w:after="0" w:line="226" w:lineRule="auto"/>
        <w:rPr>
          <w:sz w:val="20"/>
          <w:szCs w:val="20"/>
          <w:color w:val="auto"/>
        </w:rPr>
      </w:pPr>
      <w:r>
        <w:rPr>
          <w:rFonts w:ascii="Arial" w:cs="Arial" w:eastAsia="Arial" w:hAnsi="Arial"/>
          <w:sz w:val="18"/>
          <w:szCs w:val="18"/>
          <w:color w:val="202124"/>
        </w:rPr>
        <w:t>shares of the Company’s Stock entitled to vote shall be required to amend the Plan (i) to increase the number of shares of Stock available under the Plan, (ii) to decrease the Option Price below a price computed in the manner stated in</w:t>
      </w:r>
    </w:p>
    <w:p>
      <w:pPr>
        <w:spacing w:after="0" w:line="2"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202124"/>
        </w:rPr>
        <w:t>paragraph 4(b), (iii) to materially alter the requirements for eligibility to participate in the Plan, or (iv) to modify the Plan in a manner requiring stockholder approval under the Code or Securities Exchange Act of 1934 (“Exchange Act”).</w:t>
      </w:r>
    </w:p>
    <w:p>
      <w:pPr>
        <w:spacing w:after="0" w:line="131" w:lineRule="exact"/>
        <w:rPr>
          <w:sz w:val="20"/>
          <w:szCs w:val="20"/>
          <w:color w:val="auto"/>
        </w:rPr>
      </w:pPr>
    </w:p>
    <w:p>
      <w:pPr>
        <w:ind w:left="1300" w:hanging="656"/>
        <w:spacing w:after="0"/>
        <w:tabs>
          <w:tab w:leader="none" w:pos="1300" w:val="left"/>
        </w:tabs>
        <w:numPr>
          <w:ilvl w:val="0"/>
          <w:numId w:val="120"/>
        </w:numPr>
        <w:rPr>
          <w:rFonts w:ascii="Arial" w:cs="Arial" w:eastAsia="Arial" w:hAnsi="Arial"/>
          <w:sz w:val="18"/>
          <w:szCs w:val="18"/>
          <w:b w:val="1"/>
          <w:bCs w:val="1"/>
          <w:color w:val="202124"/>
        </w:rPr>
      </w:pPr>
      <w:r>
        <w:rPr>
          <w:rFonts w:ascii="Arial" w:cs="Arial" w:eastAsia="Arial" w:hAnsi="Arial"/>
          <w:sz w:val="18"/>
          <w:szCs w:val="18"/>
          <w:b w:val="1"/>
          <w:bCs w:val="1"/>
          <w:color w:val="202124"/>
        </w:rPr>
        <w:t>ADMINISTRATION BY COMMITTEE; RULES AND REGULATIONS</w:t>
      </w:r>
    </w:p>
    <w:p>
      <w:pPr>
        <w:spacing w:after="0" w:line="171" w:lineRule="exact"/>
        <w:rPr>
          <w:rFonts w:ascii="Arial" w:cs="Arial" w:eastAsia="Arial" w:hAnsi="Arial"/>
          <w:sz w:val="18"/>
          <w:szCs w:val="18"/>
          <w:b w:val="1"/>
          <w:bCs w:val="1"/>
          <w:color w:val="202124"/>
        </w:rPr>
      </w:pPr>
    </w:p>
    <w:p>
      <w:pPr>
        <w:ind w:left="1940" w:hanging="648"/>
        <w:spacing w:after="0"/>
        <w:tabs>
          <w:tab w:leader="none" w:pos="1940" w:val="left"/>
        </w:tabs>
        <w:numPr>
          <w:ilvl w:val="1"/>
          <w:numId w:val="120"/>
        </w:numPr>
        <w:rPr>
          <w:rFonts w:ascii="Arial" w:cs="Arial" w:eastAsia="Arial" w:hAnsi="Arial"/>
          <w:sz w:val="18"/>
          <w:szCs w:val="18"/>
          <w:color w:val="202124"/>
        </w:rPr>
      </w:pPr>
      <w:r>
        <w:rPr>
          <w:rFonts w:ascii="Arial" w:cs="Arial" w:eastAsia="Arial" w:hAnsi="Arial"/>
          <w:sz w:val="18"/>
          <w:szCs w:val="18"/>
          <w:color w:val="202124"/>
        </w:rPr>
        <w:t>Administration. The Plan shall be administered by the Compensation Committee of the Board.</w:t>
      </w:r>
    </w:p>
    <w:p>
      <w:pPr>
        <w:spacing w:after="0" w:line="171" w:lineRule="exact"/>
        <w:rPr>
          <w:rFonts w:ascii="Arial" w:cs="Arial" w:eastAsia="Arial" w:hAnsi="Arial"/>
          <w:sz w:val="18"/>
          <w:szCs w:val="18"/>
          <w:color w:val="202124"/>
        </w:rPr>
      </w:pPr>
    </w:p>
    <w:p>
      <w:pPr>
        <w:ind w:left="640" w:right="60" w:firstLine="652"/>
        <w:spacing w:after="0" w:line="236" w:lineRule="auto"/>
        <w:tabs>
          <w:tab w:leader="none" w:pos="1936" w:val="left"/>
        </w:tabs>
        <w:numPr>
          <w:ilvl w:val="1"/>
          <w:numId w:val="120"/>
        </w:numPr>
        <w:rPr>
          <w:rFonts w:ascii="Arial" w:cs="Arial" w:eastAsia="Arial" w:hAnsi="Arial"/>
          <w:sz w:val="18"/>
          <w:szCs w:val="18"/>
          <w:color w:val="202124"/>
        </w:rPr>
      </w:pPr>
      <w:r>
        <w:rPr>
          <w:rFonts w:ascii="Arial" w:cs="Arial" w:eastAsia="Arial" w:hAnsi="Arial"/>
          <w:sz w:val="18"/>
          <w:szCs w:val="18"/>
          <w:color w:val="202124"/>
        </w:rPr>
        <w:t>Duties And Powers of Committee. It shall be the duty of the Committee to conduct the general administration of the Plan in accordance with its provisions. The Committee shall have the power to interpret the Plan and the Options and to adopt such rules for the administration, interpretation and application of the Plan as are consistent therewith and to interpret, amend or revoke any such rules. The Board shall have no right to exercise any of the rights or duties of the Committee under the Plan.</w:t>
      </w:r>
    </w:p>
    <w:p>
      <w:pPr>
        <w:spacing w:after="0" w:line="143" w:lineRule="exact"/>
        <w:rPr>
          <w:rFonts w:ascii="Arial" w:cs="Arial" w:eastAsia="Arial" w:hAnsi="Arial"/>
          <w:sz w:val="18"/>
          <w:szCs w:val="18"/>
          <w:color w:val="202124"/>
        </w:rPr>
      </w:pPr>
    </w:p>
    <w:p>
      <w:pPr>
        <w:ind w:left="640" w:right="360" w:firstLine="652"/>
        <w:spacing w:after="0" w:line="301" w:lineRule="auto"/>
        <w:tabs>
          <w:tab w:leader="none" w:pos="1936" w:val="left"/>
        </w:tabs>
        <w:numPr>
          <w:ilvl w:val="1"/>
          <w:numId w:val="120"/>
        </w:numPr>
        <w:rPr>
          <w:rFonts w:ascii="Arial" w:cs="Arial" w:eastAsia="Arial" w:hAnsi="Arial"/>
          <w:sz w:val="17"/>
          <w:szCs w:val="17"/>
          <w:color w:val="202124"/>
        </w:rPr>
      </w:pPr>
      <w:r>
        <w:rPr>
          <w:rFonts w:ascii="Arial" w:cs="Arial" w:eastAsia="Arial" w:hAnsi="Arial"/>
          <w:sz w:val="17"/>
          <w:szCs w:val="17"/>
          <w:color w:val="202124"/>
        </w:rPr>
        <w:t>Majority Rule. The Committee shall act by a majority of its members in office. The Committee may act either by vote at a meeting or by a memorandum or other written instrument signed by a majority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A-5</w:t>
            </w:r>
          </w:p>
        </w:tc>
      </w:tr>
    </w:tbl>
    <w:p>
      <w:pPr>
        <w:sectPr>
          <w:pgSz w:w="11900" w:h="16838" w:orient="portrait"/>
          <w:cols w:equalWidth="0" w:num="1">
            <w:col w:w="10360"/>
          </w:cols>
          <w:pgMar w:left="440" w:top="106" w:right="1099" w:bottom="1440" w:gutter="0" w:footer="0" w:header="0"/>
        </w:sectPr>
      </w:pPr>
    </w:p>
    <w:bookmarkStart w:id="88" w:name="page89"/>
    <w:bookmarkEnd w:id="8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100" w:firstLine="652"/>
        <w:spacing w:after="0" w:line="236" w:lineRule="auto"/>
        <w:tabs>
          <w:tab w:leader="none" w:pos="1936" w:val="left"/>
        </w:tabs>
        <w:numPr>
          <w:ilvl w:val="1"/>
          <w:numId w:val="121"/>
        </w:numPr>
        <w:rPr>
          <w:rFonts w:ascii="Arial" w:cs="Arial" w:eastAsia="Arial" w:hAnsi="Arial"/>
          <w:sz w:val="18"/>
          <w:szCs w:val="18"/>
          <w:color w:val="202124"/>
        </w:rPr>
      </w:pPr>
      <w:r>
        <w:rPr>
          <w:rFonts w:ascii="Arial" w:cs="Arial" w:eastAsia="Arial" w:hAnsi="Arial"/>
          <w:sz w:val="18"/>
          <w:szCs w:val="18"/>
          <w:color w:val="202124"/>
        </w:rPr>
        <w:t>Professional Assistance; Good Faith Actions. The Committee may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41" w:lineRule="exact"/>
        <w:rPr>
          <w:rFonts w:ascii="Arial" w:cs="Arial" w:eastAsia="Arial" w:hAnsi="Arial"/>
          <w:sz w:val="18"/>
          <w:szCs w:val="18"/>
          <w:color w:val="202124"/>
        </w:rPr>
      </w:pPr>
    </w:p>
    <w:p>
      <w:pPr>
        <w:ind w:left="1300" w:hanging="656"/>
        <w:spacing w:after="0"/>
        <w:tabs>
          <w:tab w:leader="none" w:pos="1300" w:val="left"/>
        </w:tabs>
        <w:numPr>
          <w:ilvl w:val="0"/>
          <w:numId w:val="122"/>
        </w:numPr>
        <w:rPr>
          <w:rFonts w:ascii="Arial" w:cs="Arial" w:eastAsia="Arial" w:hAnsi="Arial"/>
          <w:sz w:val="18"/>
          <w:szCs w:val="18"/>
          <w:b w:val="1"/>
          <w:bCs w:val="1"/>
          <w:color w:val="202124"/>
        </w:rPr>
      </w:pPr>
      <w:r>
        <w:rPr>
          <w:rFonts w:ascii="Arial" w:cs="Arial" w:eastAsia="Arial" w:hAnsi="Arial"/>
          <w:sz w:val="18"/>
          <w:szCs w:val="18"/>
          <w:b w:val="1"/>
          <w:bCs w:val="1"/>
          <w:color w:val="202124"/>
        </w:rPr>
        <w:t>NO RIGHTS AS AN EMPLOYEE</w:t>
      </w:r>
    </w:p>
    <w:p>
      <w:pPr>
        <w:spacing w:after="0" w:line="171" w:lineRule="exact"/>
        <w:rPr>
          <w:rFonts w:ascii="Arial" w:cs="Arial" w:eastAsia="Arial" w:hAnsi="Arial"/>
          <w:sz w:val="18"/>
          <w:szCs w:val="18"/>
          <w:b w:val="1"/>
          <w:bCs w:val="1"/>
          <w:color w:val="202124"/>
        </w:rPr>
      </w:pPr>
    </w:p>
    <w:p>
      <w:pPr>
        <w:ind w:left="1300"/>
        <w:spacing w:after="0"/>
        <w:rPr>
          <w:rFonts w:ascii="Arial" w:cs="Arial" w:eastAsia="Arial" w:hAnsi="Arial"/>
          <w:sz w:val="18"/>
          <w:szCs w:val="18"/>
          <w:b w:val="1"/>
          <w:bCs w:val="1"/>
          <w:color w:val="202124"/>
        </w:rPr>
      </w:pPr>
      <w:r>
        <w:rPr>
          <w:rFonts w:ascii="Arial" w:cs="Arial" w:eastAsia="Arial" w:hAnsi="Arial"/>
          <w:sz w:val="17"/>
          <w:szCs w:val="17"/>
          <w:color w:val="202124"/>
        </w:rPr>
        <w:t>Nothing in the Plan shall be construed to give any person (including any Eligible Employee or Participant) the right</w:t>
      </w:r>
    </w:p>
    <w:p>
      <w:pPr>
        <w:spacing w:after="0" w:line="12" w:lineRule="exact"/>
        <w:rPr>
          <w:sz w:val="20"/>
          <w:szCs w:val="20"/>
          <w:color w:val="auto"/>
        </w:rPr>
      </w:pPr>
    </w:p>
    <w:p>
      <w:pPr>
        <w:ind w:left="640" w:right="40"/>
        <w:spacing w:after="0" w:line="242" w:lineRule="auto"/>
        <w:rPr>
          <w:sz w:val="20"/>
          <w:szCs w:val="20"/>
          <w:color w:val="auto"/>
        </w:rPr>
      </w:pPr>
      <w:r>
        <w:rPr>
          <w:rFonts w:ascii="Arial" w:cs="Arial" w:eastAsia="Arial" w:hAnsi="Arial"/>
          <w:sz w:val="18"/>
          <w:szCs w:val="18"/>
          <w:color w:val="202124"/>
        </w:rPr>
        <w:t>to remain in the employ of the Company or a Parent or Subsidiary of the Company or to affect the right of the Company or a Parent or Subsidiary of the Company to terminate the employment of any person (including any Eligible Employee or Participant) at any time with or without cause.</w:t>
      </w:r>
    </w:p>
    <w:p>
      <w:pPr>
        <w:spacing w:after="0" w:line="139" w:lineRule="exact"/>
        <w:rPr>
          <w:sz w:val="20"/>
          <w:szCs w:val="20"/>
          <w:color w:val="auto"/>
        </w:rPr>
      </w:pPr>
    </w:p>
    <w:p>
      <w:pPr>
        <w:ind w:left="1300" w:hanging="656"/>
        <w:spacing w:after="0"/>
        <w:tabs>
          <w:tab w:leader="none" w:pos="1300" w:val="left"/>
        </w:tabs>
        <w:numPr>
          <w:ilvl w:val="0"/>
          <w:numId w:val="123"/>
        </w:numPr>
        <w:rPr>
          <w:rFonts w:ascii="Arial" w:cs="Arial" w:eastAsia="Arial" w:hAnsi="Arial"/>
          <w:sz w:val="18"/>
          <w:szCs w:val="18"/>
          <w:b w:val="1"/>
          <w:bCs w:val="1"/>
          <w:color w:val="202124"/>
        </w:rPr>
      </w:pPr>
      <w:r>
        <w:rPr>
          <w:rFonts w:ascii="Arial" w:cs="Arial" w:eastAsia="Arial" w:hAnsi="Arial"/>
          <w:sz w:val="18"/>
          <w:szCs w:val="18"/>
          <w:b w:val="1"/>
          <w:bCs w:val="1"/>
          <w:color w:val="202124"/>
        </w:rPr>
        <w:t>MERGER, ACQUISITION OR LIQUIDATION OF THE COMPANY</w:t>
      </w:r>
    </w:p>
    <w:p>
      <w:pPr>
        <w:spacing w:after="0" w:line="158" w:lineRule="exact"/>
        <w:rPr>
          <w:sz w:val="20"/>
          <w:szCs w:val="20"/>
          <w:color w:val="auto"/>
        </w:rPr>
      </w:pPr>
    </w:p>
    <w:p>
      <w:pPr>
        <w:ind w:left="640" w:right="240" w:firstLine="648"/>
        <w:spacing w:after="0" w:line="259" w:lineRule="auto"/>
        <w:rPr>
          <w:sz w:val="20"/>
          <w:szCs w:val="20"/>
          <w:color w:val="auto"/>
        </w:rPr>
      </w:pPr>
      <w:r>
        <w:rPr>
          <w:rFonts w:ascii="Arial" w:cs="Arial" w:eastAsia="Arial" w:hAnsi="Arial"/>
          <w:sz w:val="17"/>
          <w:szCs w:val="17"/>
          <w:color w:val="202124"/>
        </w:rPr>
        <w:t>In the event of the merger or consolidation of the Company into another corporation, the acquisition by another corporation of all or substantially all of the Company’s assets or 80% or more of the Company’s then outstanding voting</w:t>
      </w:r>
    </w:p>
    <w:p>
      <w:pPr>
        <w:spacing w:after="0" w:line="1" w:lineRule="exact"/>
        <w:rPr>
          <w:sz w:val="20"/>
          <w:szCs w:val="20"/>
          <w:color w:val="auto"/>
        </w:rPr>
      </w:pPr>
    </w:p>
    <w:p>
      <w:pPr>
        <w:ind w:left="640" w:right="260"/>
        <w:spacing w:after="0" w:line="226" w:lineRule="auto"/>
        <w:rPr>
          <w:sz w:val="20"/>
          <w:szCs w:val="20"/>
          <w:color w:val="auto"/>
        </w:rPr>
      </w:pPr>
      <w:r>
        <w:rPr>
          <w:rFonts w:ascii="Arial" w:cs="Arial" w:eastAsia="Arial" w:hAnsi="Arial"/>
          <w:sz w:val="18"/>
          <w:szCs w:val="18"/>
          <w:color w:val="202124"/>
        </w:rPr>
        <w:t>stock or the liquidation or dissolution of the Company, the Date of Exercise with respect to outstanding Options shall be the business day immediately preceding the effective date of such merger, consolidation, acquisition, liquidation or</w:t>
      </w:r>
    </w:p>
    <w:p>
      <w:pPr>
        <w:spacing w:after="0" w:line="2" w:lineRule="exact"/>
        <w:rPr>
          <w:sz w:val="20"/>
          <w:szCs w:val="20"/>
          <w:color w:val="auto"/>
        </w:rPr>
      </w:pPr>
    </w:p>
    <w:p>
      <w:pPr>
        <w:ind w:left="640" w:right="100"/>
        <w:spacing w:after="0" w:line="250" w:lineRule="auto"/>
        <w:rPr>
          <w:sz w:val="20"/>
          <w:szCs w:val="20"/>
          <w:color w:val="auto"/>
        </w:rPr>
      </w:pPr>
      <w:r>
        <w:rPr>
          <w:rFonts w:ascii="Arial" w:cs="Arial" w:eastAsia="Arial" w:hAnsi="Arial"/>
          <w:sz w:val="18"/>
          <w:szCs w:val="18"/>
          <w:color w:val="202124"/>
        </w:rPr>
        <w:t>dissolution unless the Committee shall, in its sole discretion, provide for the assumption or substitution of such Options in manner complying with Section 424(a) of the Code.</w:t>
      </w:r>
    </w:p>
    <w:p>
      <w:pPr>
        <w:spacing w:after="0" w:line="131" w:lineRule="exact"/>
        <w:rPr>
          <w:sz w:val="20"/>
          <w:szCs w:val="20"/>
          <w:color w:val="auto"/>
        </w:rPr>
      </w:pPr>
    </w:p>
    <w:p>
      <w:pPr>
        <w:ind w:left="1300" w:hanging="656"/>
        <w:spacing w:after="0"/>
        <w:tabs>
          <w:tab w:leader="none" w:pos="1300" w:val="left"/>
        </w:tabs>
        <w:numPr>
          <w:ilvl w:val="0"/>
          <w:numId w:val="124"/>
        </w:numPr>
        <w:rPr>
          <w:rFonts w:ascii="Arial" w:cs="Arial" w:eastAsia="Arial" w:hAnsi="Arial"/>
          <w:sz w:val="18"/>
          <w:szCs w:val="18"/>
          <w:b w:val="1"/>
          <w:bCs w:val="1"/>
          <w:color w:val="202124"/>
        </w:rPr>
      </w:pPr>
      <w:r>
        <w:rPr>
          <w:rFonts w:ascii="Arial" w:cs="Arial" w:eastAsia="Arial" w:hAnsi="Arial"/>
          <w:sz w:val="18"/>
          <w:szCs w:val="18"/>
          <w:b w:val="1"/>
          <w:bCs w:val="1"/>
          <w:color w:val="202124"/>
        </w:rPr>
        <w:t>TERM; APPROVAL BY STOCKHOLDERS</w:t>
      </w:r>
    </w:p>
    <w:p>
      <w:pPr>
        <w:spacing w:after="0" w:line="171" w:lineRule="exact"/>
        <w:rPr>
          <w:sz w:val="20"/>
          <w:szCs w:val="20"/>
          <w:color w:val="auto"/>
        </w:rPr>
      </w:pPr>
    </w:p>
    <w:p>
      <w:pPr>
        <w:ind w:left="640" w:right="160" w:firstLine="648"/>
        <w:spacing w:after="0" w:line="237" w:lineRule="auto"/>
        <w:rPr>
          <w:sz w:val="20"/>
          <w:szCs w:val="20"/>
          <w:color w:val="auto"/>
        </w:rPr>
      </w:pPr>
      <w:r>
        <w:rPr>
          <w:rFonts w:ascii="Arial" w:cs="Arial" w:eastAsia="Arial" w:hAnsi="Arial"/>
          <w:sz w:val="18"/>
          <w:szCs w:val="18"/>
          <w:color w:val="202124"/>
        </w:rPr>
        <w:t>No Option may be granted during any period of suspension or after termination of the Plan, and in no event may any Option be granted under the Plan after December 31, 2036, unless extended by the Board of Directors of the</w:t>
      </w:r>
    </w:p>
    <w:p>
      <w:pPr>
        <w:spacing w:after="0" w:line="1" w:lineRule="exact"/>
        <w:rPr>
          <w:sz w:val="20"/>
          <w:szCs w:val="20"/>
          <w:color w:val="auto"/>
        </w:rPr>
      </w:pPr>
    </w:p>
    <w:p>
      <w:pPr>
        <w:ind w:left="640" w:right="40"/>
        <w:spacing w:after="0" w:line="250" w:lineRule="auto"/>
        <w:rPr>
          <w:sz w:val="20"/>
          <w:szCs w:val="20"/>
          <w:color w:val="auto"/>
        </w:rPr>
      </w:pPr>
      <w:r>
        <w:rPr>
          <w:rFonts w:ascii="Arial" w:cs="Arial" w:eastAsia="Arial" w:hAnsi="Arial"/>
          <w:sz w:val="18"/>
          <w:szCs w:val="18"/>
          <w:color w:val="202124"/>
        </w:rPr>
        <w:t>Company. The Company shall take such actions with respect to the Plan as may be necessary to satisfy the requirements of Section 423 of the Code.</w:t>
      </w:r>
    </w:p>
    <w:p>
      <w:pPr>
        <w:spacing w:after="0" w:line="131" w:lineRule="exact"/>
        <w:rPr>
          <w:sz w:val="20"/>
          <w:szCs w:val="20"/>
          <w:color w:val="auto"/>
        </w:rPr>
      </w:pPr>
    </w:p>
    <w:p>
      <w:pPr>
        <w:ind w:left="1300" w:hanging="656"/>
        <w:spacing w:after="0"/>
        <w:tabs>
          <w:tab w:leader="none" w:pos="1300" w:val="left"/>
        </w:tabs>
        <w:numPr>
          <w:ilvl w:val="0"/>
          <w:numId w:val="125"/>
        </w:numPr>
        <w:rPr>
          <w:rFonts w:ascii="Arial" w:cs="Arial" w:eastAsia="Arial" w:hAnsi="Arial"/>
          <w:sz w:val="18"/>
          <w:szCs w:val="18"/>
          <w:b w:val="1"/>
          <w:bCs w:val="1"/>
          <w:color w:val="202124"/>
        </w:rPr>
      </w:pPr>
      <w:r>
        <w:rPr>
          <w:rFonts w:ascii="Arial" w:cs="Arial" w:eastAsia="Arial" w:hAnsi="Arial"/>
          <w:sz w:val="18"/>
          <w:szCs w:val="18"/>
          <w:b w:val="1"/>
          <w:bCs w:val="1"/>
          <w:color w:val="202124"/>
        </w:rPr>
        <w:t>EFFECT UPON OTHER PLANS</w:t>
      </w:r>
    </w:p>
    <w:p>
      <w:pPr>
        <w:spacing w:after="0" w:line="171" w:lineRule="exact"/>
        <w:rPr>
          <w:sz w:val="20"/>
          <w:szCs w:val="20"/>
          <w:color w:val="auto"/>
        </w:rPr>
      </w:pPr>
    </w:p>
    <w:p>
      <w:pPr>
        <w:ind w:left="640" w:right="60" w:firstLine="648"/>
        <w:spacing w:after="0" w:line="251" w:lineRule="auto"/>
        <w:rPr>
          <w:sz w:val="20"/>
          <w:szCs w:val="20"/>
          <w:color w:val="auto"/>
        </w:rPr>
      </w:pPr>
      <w:r>
        <w:rPr>
          <w:rFonts w:ascii="Arial" w:cs="Arial" w:eastAsia="Arial" w:hAnsi="Arial"/>
          <w:sz w:val="17"/>
          <w:szCs w:val="17"/>
          <w:color w:val="202124"/>
        </w:rPr>
        <w:t>The adoption of the Plan shall not affect any other compensation or incentive plans in effect for the Company or a Parent or Subsidiary of the Company. Nothing in this Plan shall be construed to limit the right of the Company or a Parent</w:t>
      </w:r>
    </w:p>
    <w:p>
      <w:pPr>
        <w:ind w:left="640"/>
        <w:spacing w:after="0" w:line="235" w:lineRule="auto"/>
        <w:rPr>
          <w:sz w:val="20"/>
          <w:szCs w:val="20"/>
          <w:color w:val="auto"/>
        </w:rPr>
      </w:pPr>
      <w:r>
        <w:rPr>
          <w:rFonts w:ascii="Arial" w:cs="Arial" w:eastAsia="Arial" w:hAnsi="Arial"/>
          <w:sz w:val="18"/>
          <w:szCs w:val="18"/>
          <w:color w:val="202124"/>
        </w:rPr>
        <w:t>or Subsidiary of the Company (a) to establish any other forms of incentives or compensation for employees of the</w:t>
      </w:r>
    </w:p>
    <w:p>
      <w:pPr>
        <w:ind w:left="640" w:right="20"/>
        <w:spacing w:after="0"/>
        <w:rPr>
          <w:sz w:val="20"/>
          <w:szCs w:val="20"/>
          <w:color w:val="auto"/>
        </w:rPr>
      </w:pPr>
      <w:r>
        <w:rPr>
          <w:rFonts w:ascii="Arial" w:cs="Arial" w:eastAsia="Arial" w:hAnsi="Arial"/>
          <w:sz w:val="17"/>
          <w:szCs w:val="17"/>
          <w:color w:val="202124"/>
        </w:rPr>
        <w:t>Company or a Parent or Subsidiary of the Company or (b) to grant or assume options otherwise than under this Plan in connection with any proper corporate purpose, including, but not by way of limitation, the grant or assumption of options in</w:t>
      </w:r>
    </w:p>
    <w:p>
      <w:pPr>
        <w:spacing w:after="0" w:line="1"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202124"/>
        </w:rPr>
        <w:t>connection with the acquisition, by purchase, lease, merger, consolidation or otherwise, of the business, stock or assets of any corporation, firm or association.</w:t>
      </w:r>
    </w:p>
    <w:p>
      <w:pPr>
        <w:spacing w:after="0" w:line="131" w:lineRule="exact"/>
        <w:rPr>
          <w:sz w:val="20"/>
          <w:szCs w:val="20"/>
          <w:color w:val="auto"/>
        </w:rPr>
      </w:pPr>
    </w:p>
    <w:p>
      <w:pPr>
        <w:ind w:left="1300" w:hanging="656"/>
        <w:spacing w:after="0"/>
        <w:tabs>
          <w:tab w:leader="none" w:pos="1300" w:val="left"/>
        </w:tabs>
        <w:numPr>
          <w:ilvl w:val="0"/>
          <w:numId w:val="126"/>
        </w:numPr>
        <w:rPr>
          <w:rFonts w:ascii="Arial" w:cs="Arial" w:eastAsia="Arial" w:hAnsi="Arial"/>
          <w:sz w:val="18"/>
          <w:szCs w:val="18"/>
          <w:b w:val="1"/>
          <w:bCs w:val="1"/>
          <w:color w:val="202124"/>
        </w:rPr>
      </w:pPr>
      <w:r>
        <w:rPr>
          <w:rFonts w:ascii="Arial" w:cs="Arial" w:eastAsia="Arial" w:hAnsi="Arial"/>
          <w:sz w:val="18"/>
          <w:szCs w:val="18"/>
          <w:b w:val="1"/>
          <w:bCs w:val="1"/>
          <w:color w:val="202124"/>
        </w:rPr>
        <w:t>RULE 16b-3 RESTRICTIONS UPON DISPOSITIONS OF STOCK</w:t>
      </w:r>
    </w:p>
    <w:p>
      <w:pPr>
        <w:spacing w:after="0" w:line="171" w:lineRule="exact"/>
        <w:rPr>
          <w:sz w:val="20"/>
          <w:szCs w:val="20"/>
          <w:color w:val="auto"/>
        </w:rPr>
      </w:pPr>
    </w:p>
    <w:p>
      <w:pPr>
        <w:ind w:left="640" w:right="560" w:firstLine="648"/>
        <w:spacing w:after="0" w:line="237" w:lineRule="auto"/>
        <w:rPr>
          <w:sz w:val="20"/>
          <w:szCs w:val="20"/>
          <w:color w:val="auto"/>
        </w:rPr>
      </w:pPr>
      <w:r>
        <w:rPr>
          <w:rFonts w:ascii="Arial" w:cs="Arial" w:eastAsia="Arial" w:hAnsi="Arial"/>
          <w:sz w:val="18"/>
          <w:szCs w:val="18"/>
          <w:color w:val="202124"/>
        </w:rPr>
        <w:t>The Plan is intended to conform to the extent necessary with all provisions of the Securities Act of 1933, as amended (the “Securities Act”), and the Exchange Act and any and all regulations and rules promulgated by the</w:t>
      </w:r>
    </w:p>
    <w:p>
      <w:pPr>
        <w:ind w:left="640"/>
        <w:spacing w:after="0" w:line="235" w:lineRule="auto"/>
        <w:rPr>
          <w:sz w:val="20"/>
          <w:szCs w:val="20"/>
          <w:color w:val="auto"/>
        </w:rPr>
      </w:pPr>
      <w:r>
        <w:rPr>
          <w:rFonts w:ascii="Arial" w:cs="Arial" w:eastAsia="Arial" w:hAnsi="Arial"/>
          <w:sz w:val="18"/>
          <w:szCs w:val="18"/>
          <w:color w:val="202124"/>
        </w:rPr>
        <w:t>Securities and Exchange Commission thereunder, including, without limitation, Rule 16b-3. Notwithstanding anything</w:t>
      </w:r>
    </w:p>
    <w:p>
      <w:pPr>
        <w:spacing w:after="0" w:line="1" w:lineRule="exact"/>
        <w:rPr>
          <w:sz w:val="20"/>
          <w:szCs w:val="20"/>
          <w:color w:val="auto"/>
        </w:rPr>
      </w:pPr>
    </w:p>
    <w:p>
      <w:pPr>
        <w:ind w:left="640" w:right="40"/>
        <w:spacing w:after="0"/>
        <w:rPr>
          <w:sz w:val="20"/>
          <w:szCs w:val="20"/>
          <w:color w:val="auto"/>
        </w:rPr>
      </w:pPr>
      <w:r>
        <w:rPr>
          <w:rFonts w:ascii="Arial" w:cs="Arial" w:eastAsia="Arial" w:hAnsi="Arial"/>
          <w:sz w:val="17"/>
          <w:szCs w:val="17"/>
          <w:color w:val="202124"/>
        </w:rPr>
        <w:t>herein to the contrary, the Plan shall be administered, and Options shall be granted and may be exercised, only in such a manner as to conform to such laws, rules and regulations. To the extent permitted by applicable law, the Plan and Options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granted hereunder shall be deemed amended to the extent necessary to conform to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A-6  </w:t>
      </w:r>
      <w:r>
        <w:rPr>
          <w:sz w:val="1"/>
          <w:szCs w:val="1"/>
          <w:color w:val="auto"/>
        </w:rPr>
        <w:drawing>
          <wp:inline distT="0" distB="0" distL="0" distR="0">
            <wp:extent cx="116586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89" w:name="page90"/>
    <w:bookmarkEnd w:id="8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hanging="656"/>
        <w:spacing w:after="0"/>
        <w:tabs>
          <w:tab w:leader="none" w:pos="1300" w:val="left"/>
        </w:tabs>
        <w:numPr>
          <w:ilvl w:val="0"/>
          <w:numId w:val="127"/>
        </w:numPr>
        <w:rPr>
          <w:rFonts w:ascii="Arial" w:cs="Arial" w:eastAsia="Arial" w:hAnsi="Arial"/>
          <w:sz w:val="18"/>
          <w:szCs w:val="18"/>
          <w:b w:val="1"/>
          <w:bCs w:val="1"/>
          <w:color w:val="202124"/>
        </w:rPr>
      </w:pPr>
      <w:r>
        <w:rPr>
          <w:rFonts w:ascii="Arial" w:cs="Arial" w:eastAsia="Arial" w:hAnsi="Arial"/>
          <w:sz w:val="18"/>
          <w:szCs w:val="18"/>
          <w:b w:val="1"/>
          <w:bCs w:val="1"/>
          <w:color w:val="202124"/>
        </w:rPr>
        <w:t>NOTICES</w:t>
      </w:r>
    </w:p>
    <w:p>
      <w:pPr>
        <w:spacing w:after="0" w:line="171" w:lineRule="exact"/>
        <w:rPr>
          <w:sz w:val="20"/>
          <w:szCs w:val="20"/>
          <w:color w:val="auto"/>
        </w:rPr>
      </w:pPr>
    </w:p>
    <w:p>
      <w:pPr>
        <w:ind w:left="640" w:right="80" w:firstLine="648"/>
        <w:spacing w:after="0" w:line="237" w:lineRule="auto"/>
        <w:rPr>
          <w:sz w:val="20"/>
          <w:szCs w:val="20"/>
          <w:color w:val="auto"/>
        </w:rPr>
      </w:pPr>
      <w:r>
        <w:rPr>
          <w:rFonts w:ascii="Arial" w:cs="Arial" w:eastAsia="Arial" w:hAnsi="Arial"/>
          <w:sz w:val="18"/>
          <w:szCs w:val="18"/>
          <w:color w:val="202124"/>
        </w:rPr>
        <w:t>Any notice to be given under the terms of the Plan to the Company shall be addressed to the Company in care of its Secretary or any designee and any notice to be given to a Participant shall be addressed to Participant’s last address</w:t>
      </w:r>
    </w:p>
    <w:p>
      <w:pPr>
        <w:ind w:left="640"/>
        <w:spacing w:after="0" w:line="235" w:lineRule="auto"/>
        <w:rPr>
          <w:sz w:val="20"/>
          <w:szCs w:val="20"/>
          <w:color w:val="auto"/>
        </w:rPr>
      </w:pPr>
      <w:r>
        <w:rPr>
          <w:rFonts w:ascii="Arial" w:cs="Arial" w:eastAsia="Arial" w:hAnsi="Arial"/>
          <w:sz w:val="18"/>
          <w:szCs w:val="18"/>
          <w:color w:val="202124"/>
        </w:rPr>
        <w:t>as reflected in the Company’s records and may be given either in writing or via electronic communication to the extent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202124"/>
        </w:rPr>
        <w:t>permitted by law. By a notice given pursuant to this paragraph, either party may hereafter designate a different address for notices to be given. Any notice which is required to be given to a Participant shall, if the Participant is then deceased, be</w:t>
      </w:r>
    </w:p>
    <w:p>
      <w:pPr>
        <w:ind w:left="640"/>
        <w:spacing w:after="0" w:line="235" w:lineRule="auto"/>
        <w:rPr>
          <w:sz w:val="20"/>
          <w:szCs w:val="20"/>
          <w:color w:val="auto"/>
        </w:rPr>
      </w:pPr>
      <w:r>
        <w:rPr>
          <w:rFonts w:ascii="Arial" w:cs="Arial" w:eastAsia="Arial" w:hAnsi="Arial"/>
          <w:sz w:val="18"/>
          <w:szCs w:val="18"/>
          <w:color w:val="202124"/>
        </w:rPr>
        <w:t>given to the Participant’s personal representative if such representative has previously informed the Company of the</w:t>
      </w:r>
    </w:p>
    <w:p>
      <w:pPr>
        <w:ind w:left="640" w:right="240"/>
        <w:spacing w:after="0"/>
        <w:rPr>
          <w:sz w:val="20"/>
          <w:szCs w:val="20"/>
          <w:color w:val="auto"/>
        </w:rPr>
      </w:pPr>
      <w:r>
        <w:rPr>
          <w:rFonts w:ascii="Arial" w:cs="Arial" w:eastAsia="Arial" w:hAnsi="Arial"/>
          <w:sz w:val="17"/>
          <w:szCs w:val="17"/>
          <w:color w:val="202124"/>
        </w:rPr>
        <w:t>representative status and address by notice under this paragraph. Any notice shall have been deemed duly given when received by the Company or when sent to a Participant by the Company to Participant’s last known mailing address 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delivered to an electronic mailbox accessible by Participant as permitted by law.</w:t>
      </w:r>
    </w:p>
    <w:p>
      <w:pPr>
        <w:spacing w:after="0" w:line="153" w:lineRule="exact"/>
        <w:rPr>
          <w:sz w:val="20"/>
          <w:szCs w:val="20"/>
          <w:color w:val="auto"/>
        </w:rPr>
      </w:pPr>
    </w:p>
    <w:p>
      <w:pPr>
        <w:ind w:left="1300" w:hanging="656"/>
        <w:spacing w:after="0"/>
        <w:tabs>
          <w:tab w:leader="none" w:pos="1300" w:val="left"/>
        </w:tabs>
        <w:numPr>
          <w:ilvl w:val="0"/>
          <w:numId w:val="128"/>
        </w:numPr>
        <w:rPr>
          <w:rFonts w:ascii="Arial" w:cs="Arial" w:eastAsia="Arial" w:hAnsi="Arial"/>
          <w:sz w:val="18"/>
          <w:szCs w:val="18"/>
          <w:b w:val="1"/>
          <w:bCs w:val="1"/>
          <w:color w:val="202124"/>
        </w:rPr>
      </w:pPr>
      <w:r>
        <w:rPr>
          <w:rFonts w:ascii="Arial" w:cs="Arial" w:eastAsia="Arial" w:hAnsi="Arial"/>
          <w:sz w:val="18"/>
          <w:szCs w:val="18"/>
          <w:b w:val="1"/>
          <w:bCs w:val="1"/>
          <w:color w:val="202124"/>
        </w:rPr>
        <w:t>TITLES</w:t>
      </w:r>
    </w:p>
    <w:p>
      <w:pPr>
        <w:spacing w:after="0" w:line="171" w:lineRule="exact"/>
        <w:rPr>
          <w:sz w:val="20"/>
          <w:szCs w:val="20"/>
          <w:color w:val="auto"/>
        </w:rPr>
      </w:pPr>
    </w:p>
    <w:p>
      <w:pPr>
        <w:ind w:left="640" w:right="40" w:firstLine="648"/>
        <w:spacing w:after="0" w:line="271" w:lineRule="auto"/>
        <w:rPr>
          <w:sz w:val="20"/>
          <w:szCs w:val="20"/>
          <w:color w:val="auto"/>
        </w:rPr>
      </w:pPr>
      <w:r>
        <w:rPr>
          <w:rFonts w:ascii="Arial" w:cs="Arial" w:eastAsia="Arial" w:hAnsi="Arial"/>
          <w:sz w:val="18"/>
          <w:szCs w:val="18"/>
          <w:color w:val="202124"/>
        </w:rPr>
        <w:t>Titles are provided herein for convenience only and are not to serve as a basis for interpretation or construction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A-7</w:t>
            </w:r>
          </w:p>
        </w:tc>
      </w:tr>
    </w:tbl>
    <w:p>
      <w:pPr>
        <w:sectPr>
          <w:pgSz w:w="11900" w:h="16838" w:orient="portrait"/>
          <w:cols w:equalWidth="0" w:num="1">
            <w:col w:w="10360"/>
          </w:cols>
          <w:pgMar w:left="440" w:top="106" w:right="1099" w:bottom="1440" w:gutter="0" w:footer="0" w:header="0"/>
        </w:sectPr>
      </w:pPr>
    </w:p>
    <w:bookmarkStart w:id="90" w:name="page91"/>
    <w:bookmarkEnd w:id="9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202124"/>
        </w:rPr>
        <w:t>AUTOZONE, INC.</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202124"/>
        </w:rPr>
        <w:t>SEVENTH AMENDED AND RESTATED</w:t>
      </w:r>
    </w:p>
    <w:p>
      <w:pPr>
        <w:ind w:left="3860"/>
        <w:spacing w:after="0"/>
        <w:rPr>
          <w:sz w:val="20"/>
          <w:szCs w:val="20"/>
          <w:color w:val="auto"/>
        </w:rPr>
      </w:pPr>
      <w:r>
        <w:rPr>
          <w:rFonts w:ascii="Arial" w:cs="Arial" w:eastAsia="Arial" w:hAnsi="Arial"/>
          <w:sz w:val="18"/>
          <w:szCs w:val="18"/>
          <w:b w:val="1"/>
          <w:bCs w:val="1"/>
          <w:color w:val="202124"/>
        </w:rPr>
        <w:t>EXECUTIVE STOCK PURCHASE PLAN</w:t>
      </w:r>
    </w:p>
    <w:p>
      <w:pPr>
        <w:spacing w:after="0" w:line="153" w:lineRule="exact"/>
        <w:rPr>
          <w:sz w:val="20"/>
          <w:szCs w:val="20"/>
          <w:color w:val="auto"/>
        </w:rPr>
      </w:pPr>
    </w:p>
    <w:p>
      <w:pPr>
        <w:ind w:left="640" w:right="100" w:firstLine="648"/>
        <w:spacing w:after="0" w:line="259" w:lineRule="auto"/>
        <w:rPr>
          <w:sz w:val="20"/>
          <w:szCs w:val="20"/>
          <w:color w:val="auto"/>
        </w:rPr>
      </w:pPr>
      <w:r>
        <w:rPr>
          <w:rFonts w:ascii="Arial" w:cs="Arial" w:eastAsia="Arial" w:hAnsi="Arial"/>
          <w:sz w:val="17"/>
          <w:szCs w:val="17"/>
          <w:color w:val="202124"/>
        </w:rPr>
        <w:t>AUTOZONE, INC., a Nevada corporation, by resolution of its Board of Directors on October 2, 2001, adopted the AutoZone, Inc. Executive Stock Purchase Plan (the “Plan”), subject to the approval of the Plan by the stockholders of the</w:t>
      </w:r>
    </w:p>
    <w:p>
      <w:pPr>
        <w:spacing w:after="0" w:line="1" w:lineRule="exact"/>
        <w:rPr>
          <w:sz w:val="20"/>
          <w:szCs w:val="20"/>
          <w:color w:val="auto"/>
        </w:rPr>
      </w:pPr>
    </w:p>
    <w:p>
      <w:pPr>
        <w:ind w:left="640" w:right="180"/>
        <w:spacing w:after="0" w:line="226" w:lineRule="auto"/>
        <w:rPr>
          <w:sz w:val="20"/>
          <w:szCs w:val="20"/>
          <w:color w:val="auto"/>
        </w:rPr>
      </w:pPr>
      <w:r>
        <w:rPr>
          <w:rFonts w:ascii="Arial" w:cs="Arial" w:eastAsia="Arial" w:hAnsi="Arial"/>
          <w:sz w:val="18"/>
          <w:szCs w:val="18"/>
          <w:color w:val="202124"/>
        </w:rPr>
        <w:t>Company as provided in the Plan. The Plan was approved by the stockholders on December 13, 2001. The Plan was subsequently Amended and Restated by the Board’s Compensation Committee, acting pursuant to authority provided in</w:t>
      </w:r>
    </w:p>
    <w:p>
      <w:pPr>
        <w:ind w:left="640"/>
        <w:spacing w:after="0" w:line="236" w:lineRule="auto"/>
        <w:rPr>
          <w:sz w:val="20"/>
          <w:szCs w:val="20"/>
          <w:color w:val="auto"/>
        </w:rPr>
      </w:pPr>
      <w:r>
        <w:rPr>
          <w:rFonts w:ascii="Arial" w:cs="Arial" w:eastAsia="Arial" w:hAnsi="Arial"/>
          <w:sz w:val="18"/>
          <w:szCs w:val="18"/>
          <w:color w:val="202124"/>
        </w:rPr>
        <w:t>the Plan, on July 11, 2002, December 10, 2003 and December 14, 2005. On September 26, 2006, the Board’s</w:t>
      </w:r>
    </w:p>
    <w:p>
      <w:pPr>
        <w:spacing w:after="0" w:line="1" w:lineRule="exact"/>
        <w:rPr>
          <w:sz w:val="20"/>
          <w:szCs w:val="20"/>
          <w:color w:val="auto"/>
        </w:rPr>
      </w:pPr>
    </w:p>
    <w:p>
      <w:pPr>
        <w:ind w:left="640" w:right="420"/>
        <w:spacing w:after="0"/>
        <w:rPr>
          <w:sz w:val="20"/>
          <w:szCs w:val="20"/>
          <w:color w:val="auto"/>
        </w:rPr>
      </w:pPr>
      <w:r>
        <w:rPr>
          <w:rFonts w:ascii="Arial" w:cs="Arial" w:eastAsia="Arial" w:hAnsi="Arial"/>
          <w:sz w:val="17"/>
          <w:szCs w:val="17"/>
          <w:color w:val="202124"/>
        </w:rPr>
        <w:t>Compensation Committee adopted a further Amendment and Restatement of the Plan, subject to the approval by the stockholders of the Company to extend the term of the Plan until September 25, 2016. The Plan as so amended was</w:t>
      </w:r>
    </w:p>
    <w:p>
      <w:pPr>
        <w:ind w:left="640"/>
        <w:spacing w:after="0" w:line="235" w:lineRule="auto"/>
        <w:rPr>
          <w:sz w:val="20"/>
          <w:szCs w:val="20"/>
          <w:color w:val="auto"/>
        </w:rPr>
      </w:pPr>
      <w:r>
        <w:rPr>
          <w:rFonts w:ascii="Arial" w:cs="Arial" w:eastAsia="Arial" w:hAnsi="Arial"/>
          <w:sz w:val="18"/>
          <w:szCs w:val="18"/>
          <w:color w:val="202124"/>
        </w:rPr>
        <w:t>approved by the stockholders on December 13, 2006. The Plan was subsequently Amended and Restated by the</w:t>
      </w:r>
    </w:p>
    <w:p>
      <w:pPr>
        <w:ind w:left="640" w:right="60"/>
        <w:spacing w:after="0"/>
        <w:rPr>
          <w:sz w:val="20"/>
          <w:szCs w:val="20"/>
          <w:color w:val="auto"/>
        </w:rPr>
      </w:pPr>
      <w:r>
        <w:rPr>
          <w:rFonts w:ascii="Arial" w:cs="Arial" w:eastAsia="Arial" w:hAnsi="Arial"/>
          <w:sz w:val="17"/>
          <w:szCs w:val="17"/>
          <w:color w:val="202124"/>
        </w:rPr>
        <w:t>Compensation Committee, effective as of July 1, 2012. On September 21, 2016, the Board’s Compensation Committee adopted a further Amendment and Restatement of the Plan, subject to the approval by the stockholder of the Company to</w:t>
      </w:r>
    </w:p>
    <w:p>
      <w:pPr>
        <w:spacing w:after="0" w:line="1" w:lineRule="exact"/>
        <w:rPr>
          <w:sz w:val="20"/>
          <w:szCs w:val="20"/>
          <w:color w:val="auto"/>
        </w:rPr>
      </w:pPr>
    </w:p>
    <w:p>
      <w:pPr>
        <w:ind w:left="640" w:right="380"/>
        <w:spacing w:after="0"/>
        <w:rPr>
          <w:sz w:val="20"/>
          <w:szCs w:val="20"/>
          <w:color w:val="auto"/>
        </w:rPr>
      </w:pPr>
      <w:r>
        <w:rPr>
          <w:rFonts w:ascii="Arial" w:cs="Arial" w:eastAsia="Arial" w:hAnsi="Arial"/>
          <w:sz w:val="17"/>
          <w:szCs w:val="17"/>
          <w:color w:val="202124"/>
        </w:rPr>
        <w:t>extend the term of the Plan through January 1, 2026. The Plan as so amended was approved by the stockholders on December 14, 2026. The Board’s Compensation Committee desires to further amend and restate the Plan at set forth</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herein, effective [date], subject to the approval by the stockholders of the Company.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202124"/>
        </w:rPr>
        <w:t>The purposes of the Plan are as follows:</w:t>
      </w:r>
    </w:p>
    <w:p>
      <w:pPr>
        <w:spacing w:after="0" w:line="171" w:lineRule="exact"/>
        <w:rPr>
          <w:sz w:val="20"/>
          <w:szCs w:val="20"/>
          <w:color w:val="auto"/>
        </w:rPr>
      </w:pPr>
    </w:p>
    <w:p>
      <w:pPr>
        <w:ind w:left="640" w:firstLine="652"/>
        <w:spacing w:after="0"/>
        <w:tabs>
          <w:tab w:leader="none" w:pos="1936" w:val="left"/>
        </w:tabs>
        <w:numPr>
          <w:ilvl w:val="1"/>
          <w:numId w:val="129"/>
        </w:numPr>
        <w:rPr>
          <w:rFonts w:ascii="Arial" w:cs="Arial" w:eastAsia="Arial" w:hAnsi="Arial"/>
          <w:sz w:val="18"/>
          <w:szCs w:val="18"/>
          <w:color w:val="202124"/>
        </w:rPr>
      </w:pPr>
      <w:r>
        <w:rPr>
          <w:rFonts w:ascii="Arial" w:cs="Arial" w:eastAsia="Arial" w:hAnsi="Arial"/>
          <w:sz w:val="18"/>
          <w:szCs w:val="18"/>
          <w:color w:val="202124"/>
        </w:rPr>
        <w:t>To assist selected employees of the Company or of a Parent or Subsidiary of the Company in acquiring a stock ownership interest in the Company above the maximum amount of stock ownership interest allowable pursuant to the AutoZone, Inc. Ninth Amended and Restated Employee Stock Purchase Plan (the “ESPP”), or any successor thereto. The Plan is not intended to qualify as an “employee stock purchase plan” under Section 423 of the Internal Revenue Code of 1986, as amended.</w:t>
      </w:r>
    </w:p>
    <w:p>
      <w:pPr>
        <w:spacing w:after="0" w:line="139" w:lineRule="exact"/>
        <w:rPr>
          <w:rFonts w:ascii="Arial" w:cs="Arial" w:eastAsia="Arial" w:hAnsi="Arial"/>
          <w:sz w:val="18"/>
          <w:szCs w:val="18"/>
          <w:color w:val="202124"/>
        </w:rPr>
      </w:pPr>
    </w:p>
    <w:p>
      <w:pPr>
        <w:ind w:left="640" w:right="520" w:firstLine="652"/>
        <w:spacing w:after="0" w:line="256" w:lineRule="auto"/>
        <w:tabs>
          <w:tab w:leader="none" w:pos="1936" w:val="left"/>
        </w:tabs>
        <w:numPr>
          <w:ilvl w:val="1"/>
          <w:numId w:val="129"/>
        </w:numPr>
        <w:rPr>
          <w:rFonts w:ascii="Arial" w:cs="Arial" w:eastAsia="Arial" w:hAnsi="Arial"/>
          <w:sz w:val="18"/>
          <w:szCs w:val="18"/>
          <w:color w:val="202124"/>
        </w:rPr>
      </w:pPr>
      <w:r>
        <w:rPr>
          <w:rFonts w:ascii="Arial" w:cs="Arial" w:eastAsia="Arial" w:hAnsi="Arial"/>
          <w:sz w:val="18"/>
          <w:szCs w:val="18"/>
          <w:color w:val="202124"/>
        </w:rPr>
        <w:t>To help selected employees provide for their future security and to encourage them to remain in the employment of the Company or a Parent or Subsidiary of the Company.</w:t>
      </w:r>
    </w:p>
    <w:p>
      <w:pPr>
        <w:spacing w:after="0" w:line="125" w:lineRule="exact"/>
        <w:rPr>
          <w:rFonts w:ascii="Arial" w:cs="Arial" w:eastAsia="Arial" w:hAnsi="Arial"/>
          <w:sz w:val="18"/>
          <w:szCs w:val="18"/>
          <w:color w:val="202124"/>
        </w:rPr>
      </w:pPr>
    </w:p>
    <w:p>
      <w:pPr>
        <w:ind w:left="1300" w:hanging="656"/>
        <w:spacing w:after="0"/>
        <w:tabs>
          <w:tab w:leader="none" w:pos="1300" w:val="left"/>
        </w:tabs>
        <w:numPr>
          <w:ilvl w:val="0"/>
          <w:numId w:val="130"/>
        </w:numPr>
        <w:rPr>
          <w:rFonts w:ascii="Arial" w:cs="Arial" w:eastAsia="Arial" w:hAnsi="Arial"/>
          <w:sz w:val="18"/>
          <w:szCs w:val="18"/>
          <w:b w:val="1"/>
          <w:bCs w:val="1"/>
          <w:color w:val="202124"/>
        </w:rPr>
      </w:pPr>
      <w:r>
        <w:rPr>
          <w:rFonts w:ascii="Arial" w:cs="Arial" w:eastAsia="Arial" w:hAnsi="Arial"/>
          <w:sz w:val="18"/>
          <w:szCs w:val="18"/>
          <w:b w:val="1"/>
          <w:bCs w:val="1"/>
          <w:color w:val="202124"/>
        </w:rPr>
        <w:t>DEFINITIONS</w:t>
      </w:r>
    </w:p>
    <w:p>
      <w:pPr>
        <w:spacing w:after="0" w:line="171" w:lineRule="exact"/>
        <w:rPr>
          <w:rFonts w:ascii="Arial" w:cs="Arial" w:eastAsia="Arial" w:hAnsi="Arial"/>
          <w:sz w:val="18"/>
          <w:szCs w:val="18"/>
          <w:b w:val="1"/>
          <w:bCs w:val="1"/>
          <w:color w:val="202124"/>
        </w:rPr>
      </w:pPr>
    </w:p>
    <w:p>
      <w:pPr>
        <w:ind w:left="1300"/>
        <w:spacing w:after="0"/>
        <w:rPr>
          <w:rFonts w:ascii="Arial" w:cs="Arial" w:eastAsia="Arial" w:hAnsi="Arial"/>
          <w:sz w:val="18"/>
          <w:szCs w:val="18"/>
          <w:b w:val="1"/>
          <w:bCs w:val="1"/>
          <w:color w:val="202124"/>
        </w:rPr>
      </w:pPr>
      <w:r>
        <w:rPr>
          <w:rFonts w:ascii="Arial" w:cs="Arial" w:eastAsia="Arial" w:hAnsi="Arial"/>
          <w:sz w:val="18"/>
          <w:szCs w:val="18"/>
          <w:color w:val="202124"/>
        </w:rPr>
        <w:t>Whenever any of the following terms are used in the Plan with the first letter or letters capitalized, they shall have</w:t>
      </w:r>
    </w:p>
    <w:p>
      <w:pPr>
        <w:spacing w:after="0" w:line="14" w:lineRule="exact"/>
        <w:rPr>
          <w:sz w:val="20"/>
          <w:szCs w:val="20"/>
          <w:color w:val="auto"/>
        </w:rPr>
      </w:pPr>
    </w:p>
    <w:p>
      <w:pPr>
        <w:ind w:left="640" w:right="100"/>
        <w:spacing w:after="0" w:line="250" w:lineRule="auto"/>
        <w:rPr>
          <w:sz w:val="20"/>
          <w:szCs w:val="20"/>
          <w:color w:val="auto"/>
        </w:rPr>
      </w:pPr>
      <w:r>
        <w:rPr>
          <w:rFonts w:ascii="Arial" w:cs="Arial" w:eastAsia="Arial" w:hAnsi="Arial"/>
          <w:sz w:val="18"/>
          <w:szCs w:val="18"/>
          <w:color w:val="202124"/>
        </w:rPr>
        <w:t>the meaning specified below unless the context clearly indicates to the contrary. The masculine pronoun shall include the feminine and neuter and the singular shall include the plural where the context so indicates:</w:t>
      </w:r>
    </w:p>
    <w:p>
      <w:pPr>
        <w:spacing w:after="0" w:line="131" w:lineRule="exact"/>
        <w:rPr>
          <w:sz w:val="20"/>
          <w:szCs w:val="20"/>
          <w:color w:val="auto"/>
        </w:rPr>
      </w:pPr>
    </w:p>
    <w:p>
      <w:pPr>
        <w:ind w:left="1940" w:hanging="648"/>
        <w:spacing w:after="0"/>
        <w:tabs>
          <w:tab w:leader="none" w:pos="1940"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“Board” shall mean the Board of Directors of the Company.</w:t>
      </w:r>
    </w:p>
    <w:p>
      <w:pPr>
        <w:spacing w:after="0" w:line="171" w:lineRule="exact"/>
        <w:rPr>
          <w:rFonts w:ascii="Arial" w:cs="Arial" w:eastAsia="Arial" w:hAnsi="Arial"/>
          <w:sz w:val="18"/>
          <w:szCs w:val="18"/>
          <w:color w:val="202124"/>
        </w:rPr>
      </w:pPr>
    </w:p>
    <w:p>
      <w:pPr>
        <w:ind w:left="640" w:right="60" w:firstLine="652"/>
        <w:spacing w:after="0" w:line="241" w:lineRule="auto"/>
        <w:tabs>
          <w:tab w:leader="none" w:pos="1936"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“Cause” shall mean the willful engagement by the employee in conduct which is demonstrably and materially injurious to the Company, monetarily or otherwise, as determined by the Committee. For this purpose, no act or failure to act by the Participant shall be considered “willful” unless done, or omitted to be done, by the Participant not in good faith and without reasonable belief that his action or omission was in the best interest of the Company.</w:t>
      </w:r>
    </w:p>
    <w:p>
      <w:pPr>
        <w:spacing w:after="0" w:line="140" w:lineRule="exact"/>
        <w:rPr>
          <w:rFonts w:ascii="Arial" w:cs="Arial" w:eastAsia="Arial" w:hAnsi="Arial"/>
          <w:sz w:val="18"/>
          <w:szCs w:val="18"/>
          <w:color w:val="202124"/>
        </w:rPr>
      </w:pPr>
    </w:p>
    <w:p>
      <w:pPr>
        <w:ind w:left="1940" w:hanging="648"/>
        <w:spacing w:after="0"/>
        <w:tabs>
          <w:tab w:leader="none" w:pos="1940"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“Code” shall mean the Internal Revenue Code of 1986, as amended.</w:t>
      </w:r>
    </w:p>
    <w:p>
      <w:pPr>
        <w:spacing w:after="0" w:line="171" w:lineRule="exact"/>
        <w:rPr>
          <w:rFonts w:ascii="Arial" w:cs="Arial" w:eastAsia="Arial" w:hAnsi="Arial"/>
          <w:sz w:val="18"/>
          <w:szCs w:val="18"/>
          <w:color w:val="202124"/>
        </w:rPr>
      </w:pPr>
    </w:p>
    <w:p>
      <w:pPr>
        <w:ind w:left="640" w:right="420" w:firstLine="652"/>
        <w:spacing w:after="0" w:line="256" w:lineRule="auto"/>
        <w:tabs>
          <w:tab w:leader="none" w:pos="1936"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“Committee” shall mean the Compensation Committee of the Board appointed to administer the Plan pursuant to paragraph 12.</w:t>
      </w:r>
    </w:p>
    <w:p>
      <w:pPr>
        <w:spacing w:after="0" w:line="125" w:lineRule="exact"/>
        <w:rPr>
          <w:rFonts w:ascii="Arial" w:cs="Arial" w:eastAsia="Arial" w:hAnsi="Arial"/>
          <w:sz w:val="18"/>
          <w:szCs w:val="18"/>
          <w:color w:val="202124"/>
        </w:rPr>
      </w:pPr>
    </w:p>
    <w:p>
      <w:pPr>
        <w:ind w:left="1940" w:hanging="648"/>
        <w:spacing w:after="0"/>
        <w:tabs>
          <w:tab w:leader="none" w:pos="1940"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“Company” shall mean AutoZone, Inc., a Nevada corporation.</w:t>
      </w:r>
    </w:p>
    <w:p>
      <w:pPr>
        <w:spacing w:after="0" w:line="171" w:lineRule="exact"/>
        <w:rPr>
          <w:rFonts w:ascii="Arial" w:cs="Arial" w:eastAsia="Arial" w:hAnsi="Arial"/>
          <w:sz w:val="18"/>
          <w:szCs w:val="18"/>
          <w:color w:val="202124"/>
        </w:rPr>
      </w:pPr>
    </w:p>
    <w:p>
      <w:pPr>
        <w:ind w:left="640" w:right="100" w:firstLine="652"/>
        <w:spacing w:after="0"/>
        <w:tabs>
          <w:tab w:leader="none" w:pos="1936"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“Date of Exercise” shall mean, with respect to any Option, (i) the March 31 of the Plan Year in which the Option was granted (in the case of an Option granted on January 1), (ii) the June 30 of the Plan Year in which the Option was granted (in the case of an Option granted on April 1), (iii) the September 30 of the Plan Year in which the Option was granted (in the case of an Option granted on July 1), or (iv) the December 31 of the Plan Year in which the Option was granted (in the case of an Option granted on October 1).</w:t>
      </w:r>
    </w:p>
    <w:p>
      <w:pPr>
        <w:spacing w:after="0" w:line="139" w:lineRule="exact"/>
        <w:rPr>
          <w:rFonts w:ascii="Arial" w:cs="Arial" w:eastAsia="Arial" w:hAnsi="Arial"/>
          <w:sz w:val="18"/>
          <w:szCs w:val="18"/>
          <w:color w:val="202124"/>
        </w:rPr>
      </w:pPr>
    </w:p>
    <w:p>
      <w:pPr>
        <w:ind w:left="1940" w:hanging="648"/>
        <w:spacing w:after="0"/>
        <w:tabs>
          <w:tab w:leader="none" w:pos="1940" w:val="left"/>
        </w:tabs>
        <w:numPr>
          <w:ilvl w:val="0"/>
          <w:numId w:val="131"/>
        </w:numPr>
        <w:rPr>
          <w:rFonts w:ascii="Arial" w:cs="Arial" w:eastAsia="Arial" w:hAnsi="Arial"/>
          <w:sz w:val="18"/>
          <w:szCs w:val="18"/>
          <w:color w:val="202124"/>
        </w:rPr>
      </w:pPr>
      <w:r>
        <w:rPr>
          <w:rFonts w:ascii="Arial" w:cs="Arial" w:eastAsia="Arial" w:hAnsi="Arial"/>
          <w:sz w:val="18"/>
          <w:szCs w:val="18"/>
          <w:color w:val="202124"/>
        </w:rPr>
        <w:t>“Date of Grant” shall mean the date upon which an Option is granted, as set forth in subparagraph 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B-1</w:t>
            </w:r>
          </w:p>
        </w:tc>
      </w:tr>
    </w:tbl>
    <w:p>
      <w:pPr>
        <w:sectPr>
          <w:pgSz w:w="11900" w:h="16838" w:orient="portrait"/>
          <w:cols w:equalWidth="0" w:num="1">
            <w:col w:w="10360"/>
          </w:cols>
          <w:pgMar w:left="440" w:top="106" w:right="1099" w:bottom="1440" w:gutter="0" w:footer="0" w:header="0"/>
        </w:sectPr>
      </w:pPr>
    </w:p>
    <w:bookmarkStart w:id="91" w:name="page92"/>
    <w:bookmarkEnd w:id="9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80" w:firstLine="652"/>
        <w:spacing w:after="0" w:line="245"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“Disability” shall mean, unless otherwise defined in an applicable contractual agreement between the Participant and the Company, a determination by the Company that the Participant is “totally disabled,” within its meaning in the Company’s long term disability plan as in effect from time to time.</w:t>
      </w:r>
    </w:p>
    <w:p>
      <w:pPr>
        <w:spacing w:after="0" w:line="135" w:lineRule="exact"/>
        <w:rPr>
          <w:rFonts w:ascii="Arial" w:cs="Arial" w:eastAsia="Arial" w:hAnsi="Arial"/>
          <w:sz w:val="18"/>
          <w:szCs w:val="18"/>
          <w:color w:val="202124"/>
        </w:rPr>
      </w:pPr>
    </w:p>
    <w:p>
      <w:pPr>
        <w:ind w:left="640" w:right="60" w:firstLine="652"/>
        <w:spacing w:after="0" w:line="236"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“Eligible Compensation” shall mean, with respect to a Plan Year (i) the Eligible Employee’s compensation for the fiscal year of the Company ending most recently before an election is made by the Eligible Employee to participate in the Plan, based on the base salary paid to the Eligible Employee during such fiscal year plus any annual incentive compensation paid (or accrued) for such fiscal year as of the date of the election to participate, if the Eligible Employee was employed by the Company for the full preceding fiscal year, or (ii) otherwise, the Eligible Employee’s annualized current base salary rate plus any annual incentive compensation accrued for the current fiscal year as of the date of the election to participate. The Committee, in its discretion, may, on a uniform and nondiscriminatory basis, establish a different definition of Eligible Compensation.</w:t>
      </w:r>
    </w:p>
    <w:p>
      <w:pPr>
        <w:spacing w:after="0" w:line="140" w:lineRule="exact"/>
        <w:rPr>
          <w:rFonts w:ascii="Arial" w:cs="Arial" w:eastAsia="Arial" w:hAnsi="Arial"/>
          <w:sz w:val="18"/>
          <w:szCs w:val="18"/>
          <w:color w:val="202124"/>
        </w:rPr>
      </w:pPr>
    </w:p>
    <w:p>
      <w:pPr>
        <w:ind w:left="640" w:right="620" w:firstLine="652"/>
        <w:spacing w:after="0" w:line="256"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“Eligible Employee” shall mean any United States of America based officer of the Company, which includes Vice-Presidents and above.</w:t>
      </w:r>
    </w:p>
    <w:p>
      <w:pPr>
        <w:spacing w:after="0" w:line="125"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“Exchange Act” shall mean the Securities Exchange Act of 1934, as amended.</w:t>
      </w:r>
    </w:p>
    <w:p>
      <w:pPr>
        <w:spacing w:after="0" w:line="171" w:lineRule="exact"/>
        <w:rPr>
          <w:rFonts w:ascii="Arial" w:cs="Arial" w:eastAsia="Arial" w:hAnsi="Arial"/>
          <w:sz w:val="18"/>
          <w:szCs w:val="18"/>
          <w:color w:val="202124"/>
        </w:rPr>
      </w:pPr>
    </w:p>
    <w:p>
      <w:pPr>
        <w:ind w:left="640" w:right="20" w:firstLine="652"/>
        <w:spacing w:after="0" w:line="234"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“Fair Market Value” shall mean: (i) the closing price of the Stock on the principal exchange on which the Stock is then trading, if any, on such date, or, if the Stock was not traded on such date, then on the next preceding trading day during which a sale occurred; or (ii) if such Stock is not traded on an exchange but is quoted on NASDAQ or a successor quotation system, (A) the last sales price (if the Stock is then listed as a National Market Issue under the NASD National Market System) or (B) the mean between the closing representative bid and asked prices (in all other cases) for the Stock on such date as reported by NASDAQ or such successor quotation system; or (iii) if such Stock is not publicly traded on an exchange and not quoted on NASDAQ or a successor quotation system, the mean between the closing bid and asked prices for the Stock on such date as determined in good faith by the Committee; or (iv) if the Stock is not publicly traded, the fair market value established by the Committee acting in good faith.</w:t>
      </w:r>
    </w:p>
    <w:p>
      <w:pPr>
        <w:spacing w:after="0" w:line="141"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“Form” shall mean either a paper form or a form on electronic media, prepared by the Company.</w:t>
      </w:r>
    </w:p>
    <w:p>
      <w:pPr>
        <w:spacing w:after="0" w:line="171" w:lineRule="exact"/>
        <w:rPr>
          <w:rFonts w:ascii="Arial" w:cs="Arial" w:eastAsia="Arial" w:hAnsi="Arial"/>
          <w:sz w:val="18"/>
          <w:szCs w:val="18"/>
          <w:color w:val="202124"/>
        </w:rPr>
      </w:pPr>
    </w:p>
    <w:p>
      <w:pPr>
        <w:ind w:left="640" w:right="160" w:firstLine="652"/>
        <w:spacing w:after="0" w:line="271"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“Option” shall mean an option granted under the Plan to an Eligible Employee to purchase shares of the Company’s Stock.</w:t>
      </w:r>
    </w:p>
    <w:p>
      <w:pPr>
        <w:spacing w:after="0" w:line="113" w:lineRule="exact"/>
        <w:rPr>
          <w:rFonts w:ascii="Arial" w:cs="Arial" w:eastAsia="Arial" w:hAnsi="Arial"/>
          <w:sz w:val="18"/>
          <w:szCs w:val="18"/>
          <w:color w:val="202124"/>
        </w:rPr>
      </w:pPr>
    </w:p>
    <w:p>
      <w:pPr>
        <w:ind w:left="640" w:right="240" w:firstLine="652"/>
        <w:spacing w:after="0" w:line="271"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“Option Period” shall mean with respect to any Option the period beginning upon the Date of Grant and ending upon the Date of Exercise.</w:t>
      </w:r>
    </w:p>
    <w:p>
      <w:pPr>
        <w:spacing w:after="0" w:line="113"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“Option Price” has the meaning set forth in subparagraph 4(b).</w:t>
      </w:r>
    </w:p>
    <w:p>
      <w:pPr>
        <w:spacing w:after="0" w:line="171" w:lineRule="exact"/>
        <w:rPr>
          <w:rFonts w:ascii="Arial" w:cs="Arial" w:eastAsia="Arial" w:hAnsi="Arial"/>
          <w:sz w:val="18"/>
          <w:szCs w:val="18"/>
          <w:color w:val="202124"/>
        </w:rPr>
      </w:pPr>
    </w:p>
    <w:p>
      <w:pPr>
        <w:ind w:left="640" w:right="140" w:firstLine="652"/>
        <w:spacing w:after="0" w:line="241"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“Parent of the Company” shall mean any corporation, other than the Company, in an unbroken chain of corporations ending with the Company if, at the time of the granting of the Option each of the corporations other than the Company owns stock possessing more than 50% of the total combined voting power of all classes of stock in one of the other corporations in such chain.</w:t>
      </w:r>
    </w:p>
    <w:p>
      <w:pPr>
        <w:spacing w:after="0" w:line="140"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7"/>
          <w:szCs w:val="17"/>
          <w:color w:val="202124"/>
        </w:rPr>
      </w:pPr>
      <w:r>
        <w:rPr>
          <w:rFonts w:ascii="Arial" w:cs="Arial" w:eastAsia="Arial" w:hAnsi="Arial"/>
          <w:sz w:val="17"/>
          <w:szCs w:val="17"/>
          <w:color w:val="202124"/>
        </w:rPr>
        <w:t>“Participant” shall mean an Eligible Employee who has complied with the provisions of subparagraph 3(b).</w:t>
      </w:r>
    </w:p>
    <w:p>
      <w:pPr>
        <w:spacing w:after="0" w:line="182" w:lineRule="exact"/>
        <w:rPr>
          <w:rFonts w:ascii="Arial" w:cs="Arial" w:eastAsia="Arial" w:hAnsi="Arial"/>
          <w:sz w:val="17"/>
          <w:szCs w:val="17"/>
          <w:color w:val="202124"/>
        </w:rPr>
      </w:pPr>
    </w:p>
    <w:p>
      <w:pPr>
        <w:ind w:left="640" w:right="60" w:firstLine="652"/>
        <w:spacing w:after="0" w:line="256" w:lineRule="auto"/>
        <w:tabs>
          <w:tab w:leader="none" w:pos="1936"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“Plan” shall mean the AutoZone, Inc. Executive Stock Purchase Plan, as amended from time to time. The Plan is currently known as the AutoZone, Inc. Seventh Amended and Restated Executive Stock Purchase Plan.</w:t>
      </w:r>
    </w:p>
    <w:p>
      <w:pPr>
        <w:spacing w:after="0" w:line="125"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“Plan Year” shall mean the calendar year beginning on January 1 and ending on December 31.</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“Restricted Share Option” shall mean an Option for Restricted Shares.</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“Restricted Share Option Price” has the meaning set forth in subparagraph 4(b)(i).</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“Restricted Shares” has the meaning set forth in subparagraph 4(c)(i).</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“Securities Act” shall mean the Securities Act of 1933, as amended.</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0"/>
          <w:numId w:val="132"/>
        </w:numPr>
        <w:rPr>
          <w:rFonts w:ascii="Arial" w:cs="Arial" w:eastAsia="Arial" w:hAnsi="Arial"/>
          <w:sz w:val="18"/>
          <w:szCs w:val="18"/>
          <w:color w:val="202124"/>
        </w:rPr>
      </w:pPr>
      <w:r>
        <w:rPr>
          <w:rFonts w:ascii="Arial" w:cs="Arial" w:eastAsia="Arial" w:hAnsi="Arial"/>
          <w:sz w:val="18"/>
          <w:szCs w:val="18"/>
          <w:color w:val="202124"/>
        </w:rPr>
        <w:t>“Stock” shall mean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B-2  </w:t>
      </w:r>
      <w:r>
        <w:rPr>
          <w:sz w:val="1"/>
          <w:szCs w:val="1"/>
          <w:color w:val="auto"/>
        </w:rPr>
        <w:drawing>
          <wp:inline distT="0" distB="0" distL="0" distR="0">
            <wp:extent cx="11658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92" w:name="page93"/>
    <w:bookmarkEnd w:id="9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20" w:firstLine="652"/>
        <w:spacing w:after="0" w:line="241" w:lineRule="auto"/>
        <w:tabs>
          <w:tab w:leader="none" w:pos="1936" w:val="left"/>
        </w:tabs>
        <w:numPr>
          <w:ilvl w:val="0"/>
          <w:numId w:val="133"/>
        </w:numPr>
        <w:rPr>
          <w:rFonts w:ascii="Arial" w:cs="Arial" w:eastAsia="Arial" w:hAnsi="Arial"/>
          <w:sz w:val="18"/>
          <w:szCs w:val="18"/>
          <w:color w:val="202124"/>
        </w:rPr>
      </w:pPr>
      <w:r>
        <w:rPr>
          <w:rFonts w:ascii="Arial" w:cs="Arial" w:eastAsia="Arial" w:hAnsi="Arial"/>
          <w:sz w:val="18"/>
          <w:szCs w:val="18"/>
          <w:color w:val="202124"/>
        </w:rPr>
        <w:t>“Subsidiary of the Company” shall mean any corporation other than the Company in an unbroken chain of corporations beginning with the Company if, at the time of the granting of the Option, each of the corporations other than the last corporation in the unbroken chain owns stock possessing more than 50% of the total combined voting power of all classes of stock in one of the other corporations in such chain.</w:t>
      </w:r>
    </w:p>
    <w:p>
      <w:pPr>
        <w:spacing w:after="0" w:line="141" w:lineRule="exact"/>
        <w:rPr>
          <w:sz w:val="20"/>
          <w:szCs w:val="20"/>
          <w:color w:val="auto"/>
        </w:rPr>
      </w:pPr>
    </w:p>
    <w:p>
      <w:pPr>
        <w:ind w:left="1940" w:hanging="648"/>
        <w:spacing w:after="0"/>
        <w:tabs>
          <w:tab w:leader="none" w:pos="1940" w:val="left"/>
        </w:tabs>
        <w:numPr>
          <w:ilvl w:val="1"/>
          <w:numId w:val="134"/>
        </w:numPr>
        <w:rPr>
          <w:rFonts w:ascii="Arial" w:cs="Arial" w:eastAsia="Arial" w:hAnsi="Arial"/>
          <w:sz w:val="18"/>
          <w:szCs w:val="18"/>
          <w:color w:val="202124"/>
        </w:rPr>
      </w:pPr>
      <w:r>
        <w:rPr>
          <w:rFonts w:ascii="Arial" w:cs="Arial" w:eastAsia="Arial" w:hAnsi="Arial"/>
          <w:sz w:val="18"/>
          <w:szCs w:val="18"/>
          <w:color w:val="202124"/>
        </w:rPr>
        <w:t>“Unvested Share Option” shall mean an Option for Unvested Shares.</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1"/>
          <w:numId w:val="134"/>
        </w:numPr>
        <w:rPr>
          <w:rFonts w:ascii="Arial" w:cs="Arial" w:eastAsia="Arial" w:hAnsi="Arial"/>
          <w:sz w:val="18"/>
          <w:szCs w:val="18"/>
          <w:color w:val="202124"/>
        </w:rPr>
      </w:pPr>
      <w:r>
        <w:rPr>
          <w:rFonts w:ascii="Arial" w:cs="Arial" w:eastAsia="Arial" w:hAnsi="Arial"/>
          <w:sz w:val="18"/>
          <w:szCs w:val="18"/>
          <w:color w:val="202124"/>
        </w:rPr>
        <w:t>“Unvested Share Option Price” has the meaning set forth in subparagraph 4(b)(ii).</w:t>
      </w:r>
    </w:p>
    <w:p>
      <w:pPr>
        <w:spacing w:after="0" w:line="171" w:lineRule="exact"/>
        <w:rPr>
          <w:rFonts w:ascii="Arial" w:cs="Arial" w:eastAsia="Arial" w:hAnsi="Arial"/>
          <w:sz w:val="18"/>
          <w:szCs w:val="18"/>
          <w:color w:val="202124"/>
        </w:rPr>
      </w:pPr>
    </w:p>
    <w:p>
      <w:pPr>
        <w:ind w:left="1940" w:hanging="648"/>
        <w:spacing w:after="0"/>
        <w:tabs>
          <w:tab w:leader="none" w:pos="1940" w:val="left"/>
        </w:tabs>
        <w:numPr>
          <w:ilvl w:val="1"/>
          <w:numId w:val="134"/>
        </w:numPr>
        <w:rPr>
          <w:rFonts w:ascii="Arial" w:cs="Arial" w:eastAsia="Arial" w:hAnsi="Arial"/>
          <w:sz w:val="18"/>
          <w:szCs w:val="18"/>
          <w:color w:val="202124"/>
        </w:rPr>
      </w:pPr>
      <w:r>
        <w:rPr>
          <w:rFonts w:ascii="Arial" w:cs="Arial" w:eastAsia="Arial" w:hAnsi="Arial"/>
          <w:sz w:val="18"/>
          <w:szCs w:val="18"/>
          <w:color w:val="202124"/>
        </w:rPr>
        <w:t>“Unvested Shares” has the meaning set forth in subparagraph 4(c)(ii).</w:t>
      </w:r>
    </w:p>
    <w:p>
      <w:pPr>
        <w:spacing w:after="0" w:line="171" w:lineRule="exact"/>
        <w:rPr>
          <w:rFonts w:ascii="Arial" w:cs="Arial" w:eastAsia="Arial" w:hAnsi="Arial"/>
          <w:sz w:val="18"/>
          <w:szCs w:val="18"/>
          <w:color w:val="202124"/>
        </w:rPr>
      </w:pPr>
    </w:p>
    <w:p>
      <w:pPr>
        <w:ind w:left="1300" w:hanging="656"/>
        <w:spacing w:after="0"/>
        <w:tabs>
          <w:tab w:leader="none" w:pos="1300" w:val="left"/>
        </w:tabs>
        <w:numPr>
          <w:ilvl w:val="0"/>
          <w:numId w:val="135"/>
        </w:numPr>
        <w:rPr>
          <w:rFonts w:ascii="Arial" w:cs="Arial" w:eastAsia="Arial" w:hAnsi="Arial"/>
          <w:sz w:val="18"/>
          <w:szCs w:val="18"/>
          <w:b w:val="1"/>
          <w:bCs w:val="1"/>
          <w:color w:val="202124"/>
        </w:rPr>
      </w:pPr>
      <w:r>
        <w:rPr>
          <w:rFonts w:ascii="Arial" w:cs="Arial" w:eastAsia="Arial" w:hAnsi="Arial"/>
          <w:sz w:val="18"/>
          <w:szCs w:val="18"/>
          <w:b w:val="1"/>
          <w:bCs w:val="1"/>
          <w:color w:val="202124"/>
        </w:rPr>
        <w:t>STOCK SUBJECT TO THE PLAN</w:t>
      </w:r>
    </w:p>
    <w:p>
      <w:pPr>
        <w:spacing w:after="0" w:line="171" w:lineRule="exact"/>
        <w:rPr>
          <w:sz w:val="20"/>
          <w:szCs w:val="20"/>
          <w:color w:val="auto"/>
        </w:rPr>
      </w:pPr>
    </w:p>
    <w:p>
      <w:pPr>
        <w:ind w:left="640" w:right="80" w:firstLine="648"/>
        <w:spacing w:after="0" w:line="237" w:lineRule="auto"/>
        <w:rPr>
          <w:sz w:val="20"/>
          <w:szCs w:val="20"/>
          <w:color w:val="auto"/>
        </w:rPr>
      </w:pPr>
      <w:r>
        <w:rPr>
          <w:rFonts w:ascii="Arial" w:cs="Arial" w:eastAsia="Arial" w:hAnsi="Arial"/>
          <w:sz w:val="18"/>
          <w:szCs w:val="18"/>
          <w:color w:val="202124"/>
        </w:rPr>
        <w:t>Subject to the provisions of paragraph 9 (relating to adjustment upon changes in the Stock), the Stock which may be sold pursuant to options granted under the Plan shall not exceed in the aggregate 25,000 shares, and may be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unissued shares or reacquired shares or shares bought on the market for purposes of the Plan.</w:t>
      </w:r>
    </w:p>
    <w:p>
      <w:pPr>
        <w:spacing w:after="0" w:line="153" w:lineRule="exact"/>
        <w:rPr>
          <w:sz w:val="20"/>
          <w:szCs w:val="20"/>
          <w:color w:val="auto"/>
        </w:rPr>
      </w:pPr>
    </w:p>
    <w:p>
      <w:pPr>
        <w:ind w:left="1300" w:hanging="656"/>
        <w:spacing w:after="0"/>
        <w:tabs>
          <w:tab w:leader="none" w:pos="1300" w:val="left"/>
        </w:tabs>
        <w:numPr>
          <w:ilvl w:val="0"/>
          <w:numId w:val="136"/>
        </w:numPr>
        <w:rPr>
          <w:rFonts w:ascii="Arial" w:cs="Arial" w:eastAsia="Arial" w:hAnsi="Arial"/>
          <w:sz w:val="18"/>
          <w:szCs w:val="18"/>
          <w:b w:val="1"/>
          <w:bCs w:val="1"/>
          <w:color w:val="202124"/>
        </w:rPr>
      </w:pPr>
      <w:r>
        <w:rPr>
          <w:rFonts w:ascii="Arial" w:cs="Arial" w:eastAsia="Arial" w:hAnsi="Arial"/>
          <w:sz w:val="18"/>
          <w:szCs w:val="18"/>
          <w:b w:val="1"/>
          <w:bCs w:val="1"/>
          <w:color w:val="202124"/>
        </w:rPr>
        <w:t>GRANT OF OPTIONS</w:t>
      </w:r>
    </w:p>
    <w:p>
      <w:pPr>
        <w:spacing w:after="0" w:line="171" w:lineRule="exact"/>
        <w:rPr>
          <w:rFonts w:ascii="Arial" w:cs="Arial" w:eastAsia="Arial" w:hAnsi="Arial"/>
          <w:sz w:val="18"/>
          <w:szCs w:val="18"/>
          <w:b w:val="1"/>
          <w:bCs w:val="1"/>
          <w:color w:val="202124"/>
        </w:rPr>
      </w:pPr>
    </w:p>
    <w:p>
      <w:pPr>
        <w:ind w:left="640" w:right="20" w:firstLine="652"/>
        <w:spacing w:after="0" w:line="232" w:lineRule="auto"/>
        <w:tabs>
          <w:tab w:leader="none" w:pos="1936" w:val="left"/>
        </w:tabs>
        <w:numPr>
          <w:ilvl w:val="1"/>
          <w:numId w:val="136"/>
        </w:numPr>
        <w:rPr>
          <w:rFonts w:ascii="Arial" w:cs="Arial" w:eastAsia="Arial" w:hAnsi="Arial"/>
          <w:sz w:val="18"/>
          <w:szCs w:val="18"/>
          <w:color w:val="202124"/>
        </w:rPr>
      </w:pPr>
      <w:r>
        <w:rPr>
          <w:rFonts w:ascii="Arial" w:cs="Arial" w:eastAsia="Arial" w:hAnsi="Arial"/>
          <w:sz w:val="18"/>
          <w:szCs w:val="18"/>
          <w:color w:val="202124"/>
        </w:rPr>
        <w:t>General Statement. While the Plan remains in force, the Company may offer Options under the Plan to all Eligible Employees. These Options may be granted four times each Plan Year on the January 1, the April 1, the July 1, or the October 1 of each Plan Year, or on such other days as may be determined by the Committee. The term of each Option shall be for three months and shall end on the March 31 (with respect to a January 1 Date of Grant), the June 30 (with respect to an April 1 Date of Grant), the September 30 (with respect to a July 1 Date of Grant), or the December 31 (with respect to an October 1 Date of Grant) of the Plan Year in which the Option is granted or for such other term or Date of Exercise as may be determined by the Committee. The Options are granted in consideration of past and future services to the Company. Each Option shall consist of a Restricted Share Option granted together with an Unvested Share Option, and exercise of an Option may only occur by exercising both the Restricted Share Option and the Unvested Share Option together. The number of shares of Stock subject to each Restricted Share Option shall be the quotient of (i) the aggregate compensation deductions authorized by each Participant in accordance with subparagraph 3(b) for the Option Period divided by (ii) the Restricted Share Option Price and rounded down to the nearest whole share. The number of shares of the Stock subject to each Unvested Share Option shall be the quotient of the number of shares subject to the Restricted Share Option for the Option Period divided by 5.66667 and rounded to the nearest whole share.</w:t>
      </w:r>
    </w:p>
    <w:p>
      <w:pPr>
        <w:spacing w:after="0" w:line="141" w:lineRule="exact"/>
        <w:rPr>
          <w:rFonts w:ascii="Arial" w:cs="Arial" w:eastAsia="Arial" w:hAnsi="Arial"/>
          <w:sz w:val="18"/>
          <w:szCs w:val="18"/>
          <w:color w:val="202124"/>
        </w:rPr>
      </w:pPr>
    </w:p>
    <w:p>
      <w:pPr>
        <w:ind w:left="640" w:right="100" w:firstLine="652"/>
        <w:spacing w:after="0" w:line="233" w:lineRule="auto"/>
        <w:tabs>
          <w:tab w:leader="none" w:pos="1936" w:val="left"/>
        </w:tabs>
        <w:numPr>
          <w:ilvl w:val="1"/>
          <w:numId w:val="136"/>
        </w:numPr>
        <w:rPr>
          <w:rFonts w:ascii="Arial" w:cs="Arial" w:eastAsia="Arial" w:hAnsi="Arial"/>
          <w:sz w:val="18"/>
          <w:szCs w:val="18"/>
          <w:color w:val="202124"/>
        </w:rPr>
      </w:pPr>
      <w:r>
        <w:rPr>
          <w:rFonts w:ascii="Arial" w:cs="Arial" w:eastAsia="Arial" w:hAnsi="Arial"/>
          <w:sz w:val="18"/>
          <w:szCs w:val="18"/>
          <w:color w:val="202124"/>
        </w:rPr>
        <w:t>Election to Participate; Compensation Deduction Authorization. An Eligible Employee may participate in the Plan only by deductions from regular payroll or bonus payments, on an after-tax basis. For each Plan Year beginning after the Effective Date, Eligible Employees may make elections to participate in the Plan with respect to each Option Period. An election to participate may only be made by delivering to the Company, before the beginning of an Option Period (and by such earlier administrative deadline as the Company may impose), the properly completed Form whereby the Eligible Employee gives notice of the election to participate in the Plan as of the next following Date of Grant. Each such election shall designate a stated dollar amount, in $5.00 increments, to be withheld from regular paychecks and/or bonus payments, as elected by the Eligible Employee, on an after-tax basis. The stated dollar amount may not be less than $5.00 with respect to a payroll period election or a bonus payment election, and the aggregate amount permitted to be so elected and withheld during any Plan Year may not in any event exceed 25% of the Eligible Employee’s Eligible Compensation with respect to such Plan Year. Unless otherwise specified by an Eligible Employee in his or her election, the Eligible Employee’s election to participate in the Plan for an Option Period will automatically remain in effect for subsequent Option Periods until the Eligible Employee makes a subsequent election satisfying the requirements described in this subparagraph changing or terminating the election, or withdraws from participation as provided by subparagraph 5(b).</w:t>
      </w:r>
    </w:p>
    <w:p>
      <w:pPr>
        <w:spacing w:after="0" w:line="144" w:lineRule="exact"/>
        <w:rPr>
          <w:rFonts w:ascii="Arial" w:cs="Arial" w:eastAsia="Arial" w:hAnsi="Arial"/>
          <w:sz w:val="18"/>
          <w:szCs w:val="18"/>
          <w:color w:val="202124"/>
        </w:rPr>
      </w:pPr>
    </w:p>
    <w:p>
      <w:pPr>
        <w:ind w:left="640" w:right="160" w:firstLine="652"/>
        <w:spacing w:after="0" w:line="245" w:lineRule="auto"/>
        <w:tabs>
          <w:tab w:leader="none" w:pos="1936" w:val="left"/>
        </w:tabs>
        <w:numPr>
          <w:ilvl w:val="1"/>
          <w:numId w:val="136"/>
        </w:numPr>
        <w:rPr>
          <w:rFonts w:ascii="Arial" w:cs="Arial" w:eastAsia="Arial" w:hAnsi="Arial"/>
          <w:sz w:val="18"/>
          <w:szCs w:val="18"/>
          <w:color w:val="202124"/>
        </w:rPr>
      </w:pPr>
      <w:r>
        <w:rPr>
          <w:rFonts w:ascii="Arial" w:cs="Arial" w:eastAsia="Arial" w:hAnsi="Arial"/>
          <w:sz w:val="18"/>
          <w:szCs w:val="18"/>
          <w:color w:val="202124"/>
        </w:rPr>
        <w:t>Changes in Compensation Deduction Authorization. The compensation deduction authorization referred to in subparagraph 3(b) may be changed only with respect to a subsequent Option Period by making a new election as described in subparagraph 3(b), except to the extent otherwise provided in paragraph 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B-3</w:t>
            </w:r>
          </w:p>
        </w:tc>
      </w:tr>
    </w:tbl>
    <w:p>
      <w:pPr>
        <w:sectPr>
          <w:pgSz w:w="11900" w:h="16838" w:orient="portrait"/>
          <w:cols w:equalWidth="0" w:num="1">
            <w:col w:w="10360"/>
          </w:cols>
          <w:pgMar w:left="440" w:top="106" w:right="1099" w:bottom="1440" w:gutter="0" w:footer="0" w:header="0"/>
        </w:sectPr>
      </w:pPr>
    </w:p>
    <w:bookmarkStart w:id="93" w:name="page94"/>
    <w:bookmarkEnd w:id="9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hanging="656"/>
        <w:spacing w:after="0"/>
        <w:tabs>
          <w:tab w:leader="none" w:pos="1300" w:val="left"/>
        </w:tabs>
        <w:numPr>
          <w:ilvl w:val="0"/>
          <w:numId w:val="137"/>
        </w:numPr>
        <w:rPr>
          <w:rFonts w:ascii="Arial" w:cs="Arial" w:eastAsia="Arial" w:hAnsi="Arial"/>
          <w:sz w:val="18"/>
          <w:szCs w:val="18"/>
          <w:b w:val="1"/>
          <w:bCs w:val="1"/>
          <w:color w:val="202124"/>
        </w:rPr>
      </w:pPr>
      <w:r>
        <w:rPr>
          <w:rFonts w:ascii="Arial" w:cs="Arial" w:eastAsia="Arial" w:hAnsi="Arial"/>
          <w:sz w:val="18"/>
          <w:szCs w:val="18"/>
          <w:b w:val="1"/>
          <w:bCs w:val="1"/>
          <w:color w:val="202124"/>
        </w:rPr>
        <w:t>EXERCISE OF OPTIONS</w:t>
      </w:r>
    </w:p>
    <w:p>
      <w:pPr>
        <w:spacing w:after="0" w:line="171" w:lineRule="exact"/>
        <w:rPr>
          <w:rFonts w:ascii="Arial" w:cs="Arial" w:eastAsia="Arial" w:hAnsi="Arial"/>
          <w:sz w:val="18"/>
          <w:szCs w:val="18"/>
          <w:b w:val="1"/>
          <w:bCs w:val="1"/>
          <w:color w:val="202124"/>
        </w:rPr>
      </w:pPr>
    </w:p>
    <w:p>
      <w:pPr>
        <w:ind w:left="640" w:right="180" w:firstLine="652"/>
        <w:spacing w:after="0" w:line="241" w:lineRule="auto"/>
        <w:tabs>
          <w:tab w:leader="none" w:pos="1936" w:val="left"/>
        </w:tabs>
        <w:numPr>
          <w:ilvl w:val="1"/>
          <w:numId w:val="137"/>
        </w:numPr>
        <w:rPr>
          <w:rFonts w:ascii="Arial" w:cs="Arial" w:eastAsia="Arial" w:hAnsi="Arial"/>
          <w:sz w:val="18"/>
          <w:szCs w:val="18"/>
          <w:color w:val="202124"/>
        </w:rPr>
      </w:pPr>
      <w:r>
        <w:rPr>
          <w:rFonts w:ascii="Arial" w:cs="Arial" w:eastAsia="Arial" w:hAnsi="Arial"/>
          <w:sz w:val="18"/>
          <w:szCs w:val="18"/>
          <w:color w:val="202124"/>
        </w:rPr>
        <w:t>General Statement. Each Participant will be deemed to have exercised the Option on each Date of Exercise to the extent that the balance then in the Participant’s account under the Plan is sufficient to purchase at the Option Price whole shares of the Stock subject to the Option. The excess balance, if any, in a Participant’s account shall remain in the account and be available for the purchase of Stock on the following Date of Exercise.</w:t>
      </w:r>
    </w:p>
    <w:p>
      <w:pPr>
        <w:spacing w:after="0" w:line="140" w:lineRule="exact"/>
        <w:rPr>
          <w:rFonts w:ascii="Arial" w:cs="Arial" w:eastAsia="Arial" w:hAnsi="Arial"/>
          <w:sz w:val="18"/>
          <w:szCs w:val="18"/>
          <w:color w:val="202124"/>
        </w:rPr>
      </w:pPr>
    </w:p>
    <w:p>
      <w:pPr>
        <w:ind w:left="640" w:right="340" w:firstLine="652"/>
        <w:spacing w:after="0" w:line="256" w:lineRule="auto"/>
        <w:tabs>
          <w:tab w:leader="none" w:pos="1936" w:val="left"/>
        </w:tabs>
        <w:numPr>
          <w:ilvl w:val="1"/>
          <w:numId w:val="137"/>
        </w:numPr>
        <w:rPr>
          <w:rFonts w:ascii="Arial" w:cs="Arial" w:eastAsia="Arial" w:hAnsi="Arial"/>
          <w:sz w:val="18"/>
          <w:szCs w:val="18"/>
          <w:color w:val="202124"/>
        </w:rPr>
      </w:pPr>
      <w:r>
        <w:rPr>
          <w:rFonts w:ascii="Arial" w:cs="Arial" w:eastAsia="Arial" w:hAnsi="Arial"/>
          <w:sz w:val="18"/>
          <w:szCs w:val="18"/>
          <w:color w:val="202124"/>
        </w:rPr>
        <w:t>“Option Price” Defined. The option price per share of the Stock (the “Option Price”) to be paid by each Participant on each exercise of an Option shall be as follows:</w:t>
      </w:r>
    </w:p>
    <w:p>
      <w:pPr>
        <w:spacing w:after="0" w:line="125" w:lineRule="exact"/>
        <w:rPr>
          <w:sz w:val="20"/>
          <w:szCs w:val="20"/>
          <w:color w:val="auto"/>
        </w:rPr>
      </w:pPr>
    </w:p>
    <w:p>
      <w:pPr>
        <w:ind w:left="640" w:right="240" w:firstLine="652"/>
        <w:spacing w:after="0" w:line="253" w:lineRule="auto"/>
        <w:tabs>
          <w:tab w:leader="none" w:pos="1936" w:val="left"/>
        </w:tabs>
        <w:numPr>
          <w:ilvl w:val="0"/>
          <w:numId w:val="138"/>
        </w:numPr>
        <w:rPr>
          <w:rFonts w:ascii="Arial" w:cs="Arial" w:eastAsia="Arial" w:hAnsi="Arial"/>
          <w:sz w:val="18"/>
          <w:szCs w:val="18"/>
          <w:color w:val="202124"/>
        </w:rPr>
      </w:pPr>
      <w:r>
        <w:rPr>
          <w:rFonts w:ascii="Arial" w:cs="Arial" w:eastAsia="Arial" w:hAnsi="Arial"/>
          <w:sz w:val="18"/>
          <w:szCs w:val="18"/>
          <w:color w:val="202124"/>
        </w:rPr>
        <w:t>The Option Price to be paid by each Participant on each exercise of a Restricted Share Option (the “Restricted Share Option Price”) shall be an amount equal to 100% of the Fair Market Value of the Stock on the Date of Exercise.</w:t>
      </w:r>
    </w:p>
    <w:p>
      <w:pPr>
        <w:spacing w:after="0" w:line="128" w:lineRule="exact"/>
        <w:rPr>
          <w:rFonts w:ascii="Arial" w:cs="Arial" w:eastAsia="Arial" w:hAnsi="Arial"/>
          <w:sz w:val="18"/>
          <w:szCs w:val="18"/>
          <w:color w:val="202124"/>
        </w:rPr>
      </w:pPr>
    </w:p>
    <w:p>
      <w:pPr>
        <w:ind w:left="640" w:right="500" w:firstLine="652"/>
        <w:spacing w:after="0" w:line="256" w:lineRule="auto"/>
        <w:tabs>
          <w:tab w:leader="none" w:pos="1936" w:val="left"/>
        </w:tabs>
        <w:numPr>
          <w:ilvl w:val="0"/>
          <w:numId w:val="138"/>
        </w:numPr>
        <w:rPr>
          <w:rFonts w:ascii="Arial" w:cs="Arial" w:eastAsia="Arial" w:hAnsi="Arial"/>
          <w:sz w:val="18"/>
          <w:szCs w:val="18"/>
          <w:color w:val="202124"/>
        </w:rPr>
      </w:pPr>
      <w:r>
        <w:rPr>
          <w:rFonts w:ascii="Arial" w:cs="Arial" w:eastAsia="Arial" w:hAnsi="Arial"/>
          <w:sz w:val="18"/>
          <w:szCs w:val="18"/>
          <w:color w:val="202124"/>
        </w:rPr>
        <w:t>The Option Price to be paid by each Participant on each exercise of an Unvested Share Option (the “Unvested Share Option Price”) shall be zero.</w:t>
      </w:r>
    </w:p>
    <w:p>
      <w:pPr>
        <w:spacing w:after="0" w:line="125" w:lineRule="exact"/>
        <w:rPr>
          <w:sz w:val="20"/>
          <w:szCs w:val="20"/>
          <w:color w:val="auto"/>
        </w:rPr>
      </w:pPr>
    </w:p>
    <w:p>
      <w:pPr>
        <w:ind w:left="1940" w:hanging="648"/>
        <w:spacing w:after="0"/>
        <w:tabs>
          <w:tab w:leader="none" w:pos="1940" w:val="left"/>
        </w:tabs>
        <w:numPr>
          <w:ilvl w:val="0"/>
          <w:numId w:val="139"/>
        </w:numPr>
        <w:rPr>
          <w:rFonts w:ascii="Arial" w:cs="Arial" w:eastAsia="Arial" w:hAnsi="Arial"/>
          <w:sz w:val="18"/>
          <w:szCs w:val="18"/>
          <w:color w:val="202124"/>
        </w:rPr>
      </w:pPr>
      <w:r>
        <w:rPr>
          <w:rFonts w:ascii="Arial" w:cs="Arial" w:eastAsia="Arial" w:hAnsi="Arial"/>
          <w:sz w:val="18"/>
          <w:szCs w:val="18"/>
          <w:color w:val="202124"/>
        </w:rPr>
        <w:t>Delivery of Shares.</w:t>
      </w:r>
    </w:p>
    <w:p>
      <w:pPr>
        <w:spacing w:after="0" w:line="171" w:lineRule="exact"/>
        <w:rPr>
          <w:sz w:val="20"/>
          <w:szCs w:val="20"/>
          <w:color w:val="auto"/>
        </w:rPr>
      </w:pPr>
    </w:p>
    <w:p>
      <w:pPr>
        <w:ind w:left="640" w:right="20" w:firstLine="652"/>
        <w:spacing w:after="0" w:line="236" w:lineRule="auto"/>
        <w:tabs>
          <w:tab w:leader="none" w:pos="1936" w:val="left"/>
        </w:tabs>
        <w:numPr>
          <w:ilvl w:val="1"/>
          <w:numId w:val="140"/>
        </w:numPr>
        <w:rPr>
          <w:rFonts w:ascii="Arial" w:cs="Arial" w:eastAsia="Arial" w:hAnsi="Arial"/>
          <w:sz w:val="18"/>
          <w:szCs w:val="18"/>
          <w:color w:val="202124"/>
        </w:rPr>
      </w:pPr>
      <w:r>
        <w:rPr>
          <w:rFonts w:ascii="Arial" w:cs="Arial" w:eastAsia="Arial" w:hAnsi="Arial"/>
          <w:sz w:val="18"/>
          <w:szCs w:val="18"/>
          <w:color w:val="202124"/>
        </w:rPr>
        <w:t>For the number of shares of Stock which are purchased upon the exercise of a Restricted Share Option (the “Restricted Shares”), upon the first anniversary of the applicable Date of Exercise and upon proper completion and submission of the proper Form to the Company, the Company shall deliver to the Participant such number of shares. The Restricted Shares shall not be transferable or assignable by the Participant prior to such first anniversary of the Date of Exercise, provided, however, that upon a Participant’s termination of employment with the Company prior to the first anniversary of the applicable Date of Exercise, upon the proper completion and submission of the proper Form to the Company, the Company shall deliver to such Participant (or Participant’s estate) such Restricted Shares and such transfer and assignment restrictions shall lapse.</w:t>
      </w:r>
    </w:p>
    <w:p>
      <w:pPr>
        <w:spacing w:after="0" w:line="140" w:lineRule="exact"/>
        <w:rPr>
          <w:rFonts w:ascii="Arial" w:cs="Arial" w:eastAsia="Arial" w:hAnsi="Arial"/>
          <w:sz w:val="18"/>
          <w:szCs w:val="18"/>
          <w:color w:val="202124"/>
        </w:rPr>
      </w:pPr>
    </w:p>
    <w:p>
      <w:pPr>
        <w:ind w:left="640" w:right="60" w:firstLine="652"/>
        <w:spacing w:after="0" w:line="234" w:lineRule="auto"/>
        <w:tabs>
          <w:tab w:leader="none" w:pos="1936" w:val="left"/>
        </w:tabs>
        <w:numPr>
          <w:ilvl w:val="1"/>
          <w:numId w:val="140"/>
        </w:numPr>
        <w:rPr>
          <w:rFonts w:ascii="Arial" w:cs="Arial" w:eastAsia="Arial" w:hAnsi="Arial"/>
          <w:sz w:val="18"/>
          <w:szCs w:val="18"/>
          <w:color w:val="202124"/>
        </w:rPr>
      </w:pPr>
      <w:r>
        <w:rPr>
          <w:rFonts w:ascii="Arial" w:cs="Arial" w:eastAsia="Arial" w:hAnsi="Arial"/>
          <w:sz w:val="18"/>
          <w:szCs w:val="18"/>
          <w:color w:val="202124"/>
        </w:rPr>
        <w:t>For the number of shares of Stock which are purchased upon the exercise of an Unvested Share Option (the “Unvested Shares”), subject to the Participant’s continued employment with the Company except as provided below, on the first anniversary of the Date of Exercise and upon the proper completion and submission of the proper Form to the Company, the Company shall deliver to the Participant such number of shares. If a Participant experiences a termination of employment with the Company prior to the first anniversary of the Date of Exercise, except by reason of the Participant’s death, Disability, or termination by the Company without Cause, the Unvested Shares shall be forfeited and the Participant shall have no further interest in the Unvested Shares. Upon a Participant’s termination of employment with the Company by reason of the Participant’s death, Disability, or termination by the Company without Cause, the Unvested Shares shall be vested and upon the proper completion and submission of the proper Form to the Company, the Company shall deliver to such Participant (or Participant’s estate) the Unvested Shares.</w:t>
      </w:r>
    </w:p>
    <w:p>
      <w:pPr>
        <w:spacing w:after="0" w:line="141" w:lineRule="exact"/>
        <w:rPr>
          <w:rFonts w:ascii="Arial" w:cs="Arial" w:eastAsia="Arial" w:hAnsi="Arial"/>
          <w:sz w:val="18"/>
          <w:szCs w:val="18"/>
          <w:color w:val="202124"/>
        </w:rPr>
      </w:pPr>
    </w:p>
    <w:p>
      <w:pPr>
        <w:ind w:left="640" w:right="80" w:firstLine="652"/>
        <w:spacing w:after="0" w:line="260" w:lineRule="auto"/>
        <w:tabs>
          <w:tab w:leader="none" w:pos="1936" w:val="left"/>
        </w:tabs>
        <w:numPr>
          <w:ilvl w:val="1"/>
          <w:numId w:val="140"/>
        </w:numPr>
        <w:rPr>
          <w:rFonts w:ascii="Arial" w:cs="Arial" w:eastAsia="Arial" w:hAnsi="Arial"/>
          <w:sz w:val="17"/>
          <w:szCs w:val="17"/>
          <w:color w:val="202124"/>
        </w:rPr>
      </w:pPr>
      <w:r>
        <w:rPr>
          <w:rFonts w:ascii="Arial" w:cs="Arial" w:eastAsia="Arial" w:hAnsi="Arial"/>
          <w:sz w:val="17"/>
          <w:szCs w:val="17"/>
          <w:color w:val="202124"/>
        </w:rPr>
        <w:t>In the event the Company is required to obtain from any commission or agency authority to issue any shares, the Company will seek to obtain such authority. The inability of the Company to obtain from any such commission or agency authority which counsel for the Company deems necessary for the lawful issuance of any such shares shall relieve the Company from liability to any Participant except to return the amount of the balance in the account in cash.</w:t>
      </w:r>
    </w:p>
    <w:p>
      <w:pPr>
        <w:spacing w:after="0" w:line="124" w:lineRule="exact"/>
        <w:rPr>
          <w:rFonts w:ascii="Arial" w:cs="Arial" w:eastAsia="Arial" w:hAnsi="Arial"/>
          <w:sz w:val="17"/>
          <w:szCs w:val="17"/>
          <w:color w:val="202124"/>
        </w:rPr>
      </w:pPr>
    </w:p>
    <w:p>
      <w:pPr>
        <w:ind w:left="1300" w:hanging="656"/>
        <w:spacing w:after="0"/>
        <w:tabs>
          <w:tab w:leader="none" w:pos="1300" w:val="left"/>
        </w:tabs>
        <w:numPr>
          <w:ilvl w:val="0"/>
          <w:numId w:val="141"/>
        </w:numPr>
        <w:rPr>
          <w:rFonts w:ascii="Arial" w:cs="Arial" w:eastAsia="Arial" w:hAnsi="Arial"/>
          <w:sz w:val="18"/>
          <w:szCs w:val="18"/>
          <w:b w:val="1"/>
          <w:bCs w:val="1"/>
          <w:color w:val="202124"/>
        </w:rPr>
      </w:pPr>
      <w:r>
        <w:rPr>
          <w:rFonts w:ascii="Arial" w:cs="Arial" w:eastAsia="Arial" w:hAnsi="Arial"/>
          <w:sz w:val="18"/>
          <w:szCs w:val="18"/>
          <w:b w:val="1"/>
          <w:bCs w:val="1"/>
          <w:color w:val="202124"/>
        </w:rPr>
        <w:t>WITHDRAWAL FROM PLAN PARTICIPATION</w:t>
      </w:r>
    </w:p>
    <w:p>
      <w:pPr>
        <w:spacing w:after="0" w:line="171" w:lineRule="exact"/>
        <w:rPr>
          <w:sz w:val="20"/>
          <w:szCs w:val="20"/>
          <w:color w:val="auto"/>
        </w:rPr>
      </w:pPr>
    </w:p>
    <w:p>
      <w:pPr>
        <w:ind w:left="640" w:right="40" w:firstLine="652"/>
        <w:spacing w:after="0" w:line="245" w:lineRule="auto"/>
        <w:tabs>
          <w:tab w:leader="none" w:pos="1936" w:val="left"/>
        </w:tabs>
        <w:numPr>
          <w:ilvl w:val="0"/>
          <w:numId w:val="142"/>
        </w:numPr>
        <w:rPr>
          <w:rFonts w:ascii="Arial" w:cs="Arial" w:eastAsia="Arial" w:hAnsi="Arial"/>
          <w:sz w:val="18"/>
          <w:szCs w:val="18"/>
          <w:color w:val="202124"/>
        </w:rPr>
      </w:pPr>
      <w:r>
        <w:rPr>
          <w:rFonts w:ascii="Arial" w:cs="Arial" w:eastAsia="Arial" w:hAnsi="Arial"/>
          <w:sz w:val="18"/>
          <w:szCs w:val="18"/>
          <w:color w:val="202124"/>
        </w:rPr>
        <w:t>Withdrawal from Participation. A Participant may terminate his or her election to have compensation withheld under the Plan and to withdraw from participation effective with respect to any future Option Period by making an election satisfying the requirements described in subparagraph 3(b).</w:t>
      </w:r>
    </w:p>
    <w:p>
      <w:pPr>
        <w:spacing w:after="0" w:line="135" w:lineRule="exact"/>
        <w:rPr>
          <w:rFonts w:ascii="Arial" w:cs="Arial" w:eastAsia="Arial" w:hAnsi="Arial"/>
          <w:sz w:val="18"/>
          <w:szCs w:val="18"/>
          <w:color w:val="202124"/>
        </w:rPr>
      </w:pPr>
    </w:p>
    <w:p>
      <w:pPr>
        <w:ind w:left="640" w:right="100" w:firstLine="652"/>
        <w:spacing w:after="0" w:line="236" w:lineRule="auto"/>
        <w:tabs>
          <w:tab w:leader="none" w:pos="1936" w:val="left"/>
        </w:tabs>
        <w:numPr>
          <w:ilvl w:val="0"/>
          <w:numId w:val="142"/>
        </w:numPr>
        <w:rPr>
          <w:rFonts w:ascii="Arial" w:cs="Arial" w:eastAsia="Arial" w:hAnsi="Arial"/>
          <w:sz w:val="18"/>
          <w:szCs w:val="18"/>
          <w:color w:val="202124"/>
        </w:rPr>
      </w:pPr>
      <w:r>
        <w:rPr>
          <w:rFonts w:ascii="Arial" w:cs="Arial" w:eastAsia="Arial" w:hAnsi="Arial"/>
          <w:sz w:val="18"/>
          <w:szCs w:val="18"/>
          <w:color w:val="202124"/>
        </w:rPr>
        <w:t>Withdrawal from Participation During an Option Period. A Participant may elect, during an Option Period, to terminate his or her election to have compensation withheld under the Plan and to withdraw from such participation for the remainder of the then current Option Period by providing to the Company notice of such withdrawal, in such form as the Company may require. As soon as administratively practicable following receipt and acceptance of such notice, the Company will stop the Participant’s compensation deductions under the Plan and refund to the Participant the amount of any balance in the Participant’s account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B-4  </w:t>
      </w:r>
      <w:r>
        <w:rPr>
          <w:sz w:val="1"/>
          <w:szCs w:val="1"/>
          <w:color w:val="auto"/>
        </w:rPr>
        <w:drawing>
          <wp:inline distT="0" distB="0" distL="0" distR="0">
            <wp:extent cx="1165860" cy="1371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94" w:name="page95"/>
    <w:bookmarkEnd w:id="9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firstLine="652"/>
        <w:spacing w:after="0" w:line="245" w:lineRule="auto"/>
        <w:tabs>
          <w:tab w:leader="none" w:pos="1936" w:val="left"/>
        </w:tabs>
        <w:numPr>
          <w:ilvl w:val="1"/>
          <w:numId w:val="143"/>
        </w:numPr>
        <w:rPr>
          <w:rFonts w:ascii="Arial" w:cs="Arial" w:eastAsia="Arial" w:hAnsi="Arial"/>
          <w:sz w:val="18"/>
          <w:szCs w:val="18"/>
          <w:color w:val="202124"/>
        </w:rPr>
      </w:pPr>
      <w:r>
        <w:rPr>
          <w:rFonts w:ascii="Arial" w:cs="Arial" w:eastAsia="Arial" w:hAnsi="Arial"/>
          <w:sz w:val="18"/>
          <w:szCs w:val="18"/>
          <w:color w:val="202124"/>
        </w:rPr>
        <w:t>Participation Following Withdrawal. An Eligible Employee who has previously withdrawn from participation in the Plan may participate again on any January 1, April 1, July 1 or October 1 thereafter as provided in paragraph 3(b) above.</w:t>
      </w:r>
    </w:p>
    <w:p>
      <w:pPr>
        <w:spacing w:after="0" w:line="135" w:lineRule="exact"/>
        <w:rPr>
          <w:rFonts w:ascii="Arial" w:cs="Arial" w:eastAsia="Arial" w:hAnsi="Arial"/>
          <w:sz w:val="18"/>
          <w:szCs w:val="18"/>
          <w:color w:val="202124"/>
        </w:rPr>
      </w:pPr>
    </w:p>
    <w:p>
      <w:pPr>
        <w:ind w:left="640" w:right="500" w:firstLine="652"/>
        <w:spacing w:after="0" w:line="271" w:lineRule="auto"/>
        <w:tabs>
          <w:tab w:leader="none" w:pos="1936" w:val="left"/>
        </w:tabs>
        <w:numPr>
          <w:ilvl w:val="1"/>
          <w:numId w:val="143"/>
        </w:numPr>
        <w:rPr>
          <w:rFonts w:ascii="Arial" w:cs="Arial" w:eastAsia="Arial" w:hAnsi="Arial"/>
          <w:sz w:val="18"/>
          <w:szCs w:val="18"/>
          <w:color w:val="202124"/>
        </w:rPr>
      </w:pPr>
      <w:r>
        <w:rPr>
          <w:rFonts w:ascii="Arial" w:cs="Arial" w:eastAsia="Arial" w:hAnsi="Arial"/>
          <w:sz w:val="18"/>
          <w:szCs w:val="18"/>
          <w:color w:val="202124"/>
        </w:rPr>
        <w:t>Stock Subject to Plan. Notwithstanding a Participant’s withdrawal from the Plan, any Stock acquired under the Plan shall remain subject to the terms of the Plan.</w:t>
      </w:r>
    </w:p>
    <w:p>
      <w:pPr>
        <w:spacing w:after="0" w:line="113" w:lineRule="exact"/>
        <w:rPr>
          <w:rFonts w:ascii="Arial" w:cs="Arial" w:eastAsia="Arial" w:hAnsi="Arial"/>
          <w:sz w:val="18"/>
          <w:szCs w:val="18"/>
          <w:color w:val="202124"/>
        </w:rPr>
      </w:pPr>
    </w:p>
    <w:p>
      <w:pPr>
        <w:ind w:left="1300" w:hanging="656"/>
        <w:spacing w:after="0"/>
        <w:tabs>
          <w:tab w:leader="none" w:pos="1300" w:val="left"/>
        </w:tabs>
        <w:numPr>
          <w:ilvl w:val="0"/>
          <w:numId w:val="144"/>
        </w:numPr>
        <w:rPr>
          <w:rFonts w:ascii="Arial" w:cs="Arial" w:eastAsia="Arial" w:hAnsi="Arial"/>
          <w:sz w:val="18"/>
          <w:szCs w:val="18"/>
          <w:b w:val="1"/>
          <w:bCs w:val="1"/>
          <w:color w:val="202124"/>
        </w:rPr>
      </w:pPr>
      <w:r>
        <w:rPr>
          <w:rFonts w:ascii="Arial" w:cs="Arial" w:eastAsia="Arial" w:hAnsi="Arial"/>
          <w:sz w:val="18"/>
          <w:szCs w:val="18"/>
          <w:b w:val="1"/>
          <w:bCs w:val="1"/>
          <w:color w:val="202124"/>
        </w:rPr>
        <w:t>TERMINATION OF EMPLOYMENT</w:t>
      </w:r>
    </w:p>
    <w:p>
      <w:pPr>
        <w:spacing w:after="0" w:line="171" w:lineRule="exact"/>
        <w:rPr>
          <w:sz w:val="20"/>
          <w:szCs w:val="20"/>
          <w:color w:val="auto"/>
        </w:rPr>
      </w:pPr>
    </w:p>
    <w:p>
      <w:pPr>
        <w:ind w:left="640" w:right="20" w:firstLine="648"/>
        <w:spacing w:after="0" w:line="237" w:lineRule="auto"/>
        <w:rPr>
          <w:sz w:val="20"/>
          <w:szCs w:val="20"/>
          <w:color w:val="auto"/>
        </w:rPr>
      </w:pPr>
      <w:r>
        <w:rPr>
          <w:rFonts w:ascii="Arial" w:cs="Arial" w:eastAsia="Arial" w:hAnsi="Arial"/>
          <w:sz w:val="18"/>
          <w:szCs w:val="18"/>
          <w:color w:val="202124"/>
        </w:rPr>
        <w:t>If a Participant experiences a termination of employment during an Option Period, the Participant’s participation in the Plan shall automatically terminate as of the date of the termination of employment. As soon as practicable after such a</w:t>
      </w:r>
    </w:p>
    <w:p>
      <w:pPr>
        <w:ind w:left="640"/>
        <w:spacing w:after="0" w:line="235" w:lineRule="auto"/>
        <w:rPr>
          <w:sz w:val="20"/>
          <w:szCs w:val="20"/>
          <w:color w:val="auto"/>
        </w:rPr>
      </w:pPr>
      <w:r>
        <w:rPr>
          <w:rFonts w:ascii="Arial" w:cs="Arial" w:eastAsia="Arial" w:hAnsi="Arial"/>
          <w:sz w:val="18"/>
          <w:szCs w:val="18"/>
          <w:color w:val="202124"/>
        </w:rPr>
        <w:t>Participant’s termination of employment, the Company will refund the amount of the balance in that account under the</w:t>
      </w:r>
    </w:p>
    <w:p>
      <w:pPr>
        <w:spacing w:after="0" w:line="1" w:lineRule="exact"/>
        <w:rPr>
          <w:sz w:val="20"/>
          <w:szCs w:val="20"/>
          <w:color w:val="auto"/>
        </w:rPr>
      </w:pPr>
    </w:p>
    <w:p>
      <w:pPr>
        <w:ind w:left="640" w:right="400"/>
        <w:spacing w:after="0" w:line="237" w:lineRule="auto"/>
        <w:rPr>
          <w:sz w:val="20"/>
          <w:szCs w:val="20"/>
          <w:color w:val="auto"/>
        </w:rPr>
      </w:pPr>
      <w:r>
        <w:rPr>
          <w:rFonts w:ascii="Arial" w:cs="Arial" w:eastAsia="Arial" w:hAnsi="Arial"/>
          <w:sz w:val="18"/>
          <w:szCs w:val="18"/>
          <w:color w:val="202124"/>
        </w:rPr>
        <w:t>Plan. Upon a Participant’s termination of employment under this subparagraph 6, any Option held by such Participant under the Plan shall terminate.</w:t>
      </w:r>
    </w:p>
    <w:p>
      <w:pPr>
        <w:spacing w:after="0" w:line="140" w:lineRule="exact"/>
        <w:rPr>
          <w:sz w:val="20"/>
          <w:szCs w:val="20"/>
          <w:color w:val="auto"/>
        </w:rPr>
      </w:pPr>
    </w:p>
    <w:p>
      <w:pPr>
        <w:ind w:left="1300" w:hanging="656"/>
        <w:spacing w:after="0"/>
        <w:tabs>
          <w:tab w:leader="none" w:pos="1300" w:val="left"/>
        </w:tabs>
        <w:numPr>
          <w:ilvl w:val="0"/>
          <w:numId w:val="145"/>
        </w:numPr>
        <w:rPr>
          <w:rFonts w:ascii="Arial" w:cs="Arial" w:eastAsia="Arial" w:hAnsi="Arial"/>
          <w:sz w:val="18"/>
          <w:szCs w:val="18"/>
          <w:b w:val="1"/>
          <w:bCs w:val="1"/>
          <w:color w:val="202124"/>
        </w:rPr>
      </w:pPr>
      <w:r>
        <w:rPr>
          <w:rFonts w:ascii="Arial" w:cs="Arial" w:eastAsia="Arial" w:hAnsi="Arial"/>
          <w:sz w:val="18"/>
          <w:szCs w:val="18"/>
          <w:b w:val="1"/>
          <w:bCs w:val="1"/>
          <w:color w:val="202124"/>
        </w:rPr>
        <w:t>RESTRICTION UPON ASSIGNMENT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202124"/>
        </w:rPr>
        <w:t>No Option or interest or right therein or part thereof shall be liable for the debts, contracts or engagements of any</w:t>
      </w:r>
    </w:p>
    <w:p>
      <w:pPr>
        <w:spacing w:after="0" w:line="14" w:lineRule="exact"/>
        <w:rPr>
          <w:sz w:val="20"/>
          <w:szCs w:val="20"/>
          <w:color w:val="auto"/>
        </w:rPr>
      </w:pPr>
    </w:p>
    <w:p>
      <w:pPr>
        <w:ind w:left="640" w:right="140"/>
        <w:spacing w:after="0"/>
        <w:rPr>
          <w:sz w:val="20"/>
          <w:szCs w:val="20"/>
          <w:color w:val="auto"/>
        </w:rPr>
      </w:pPr>
      <w:r>
        <w:rPr>
          <w:rFonts w:ascii="Arial" w:cs="Arial" w:eastAsia="Arial" w:hAnsi="Arial"/>
          <w:sz w:val="17"/>
          <w:szCs w:val="17"/>
          <w:color w:val="202124"/>
        </w:rPr>
        <w:t>Participant or any successor in interest, nor shall any Option be subject to disposition by transfer, alienation, anticipation, pledge, encumbrance, assignment or any other means, whether such disposition be voluntary or involuntary or by</w:t>
      </w:r>
    </w:p>
    <w:p>
      <w:pPr>
        <w:ind w:left="640"/>
        <w:spacing w:after="0" w:line="235" w:lineRule="auto"/>
        <w:rPr>
          <w:sz w:val="20"/>
          <w:szCs w:val="20"/>
          <w:color w:val="auto"/>
        </w:rPr>
      </w:pPr>
      <w:r>
        <w:rPr>
          <w:rFonts w:ascii="Arial" w:cs="Arial" w:eastAsia="Arial" w:hAnsi="Arial"/>
          <w:sz w:val="18"/>
          <w:szCs w:val="18"/>
          <w:color w:val="202124"/>
        </w:rPr>
        <w:t>operation of law by judgment, levy, attachment, garnishment or any other legal or equitable proceedings (including</w:t>
      </w:r>
    </w:p>
    <w:p>
      <w:pPr>
        <w:ind w:left="640" w:right="200"/>
        <w:spacing w:after="0"/>
        <w:rPr>
          <w:sz w:val="20"/>
          <w:szCs w:val="20"/>
          <w:color w:val="auto"/>
        </w:rPr>
      </w:pPr>
      <w:r>
        <w:rPr>
          <w:rFonts w:ascii="Arial" w:cs="Arial" w:eastAsia="Arial" w:hAnsi="Arial"/>
          <w:sz w:val="17"/>
          <w:szCs w:val="17"/>
          <w:color w:val="202124"/>
        </w:rPr>
        <w:t>bankruptcy), and attempted disposition thereof shall be null and void and of no effect; provided, however, that nothing in this paragraph 7 shall prevent transfers by will or by the applicable laws of descent and distribution. Options may not be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exercised to any extent except in accordance with the provisions of paragraphs 4 and 6 above.</w:t>
      </w:r>
    </w:p>
    <w:p>
      <w:pPr>
        <w:spacing w:after="0" w:line="153" w:lineRule="exact"/>
        <w:rPr>
          <w:sz w:val="20"/>
          <w:szCs w:val="20"/>
          <w:color w:val="auto"/>
        </w:rPr>
      </w:pPr>
    </w:p>
    <w:p>
      <w:pPr>
        <w:ind w:left="1300" w:hanging="656"/>
        <w:spacing w:after="0"/>
        <w:tabs>
          <w:tab w:leader="none" w:pos="1300" w:val="left"/>
        </w:tabs>
        <w:numPr>
          <w:ilvl w:val="0"/>
          <w:numId w:val="146"/>
        </w:numPr>
        <w:rPr>
          <w:rFonts w:ascii="Arial" w:cs="Arial" w:eastAsia="Arial" w:hAnsi="Arial"/>
          <w:sz w:val="18"/>
          <w:szCs w:val="18"/>
          <w:b w:val="1"/>
          <w:bCs w:val="1"/>
          <w:color w:val="202124"/>
        </w:rPr>
      </w:pPr>
      <w:r>
        <w:rPr>
          <w:rFonts w:ascii="Arial" w:cs="Arial" w:eastAsia="Arial" w:hAnsi="Arial"/>
          <w:sz w:val="18"/>
          <w:szCs w:val="18"/>
          <w:b w:val="1"/>
          <w:bCs w:val="1"/>
          <w:color w:val="202124"/>
        </w:rPr>
        <w:t>NO RIGHTS OF STOCKHOLDER UNTIL OPTION IS EXERCISED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202124"/>
        </w:rPr>
        <w:t>With respect to shares of the Stock subject to an Option, a Participant shall not be deemed to be a stockholder of</w:t>
      </w:r>
    </w:p>
    <w:p>
      <w:pPr>
        <w:spacing w:after="0" w:line="14" w:lineRule="exact"/>
        <w:rPr>
          <w:sz w:val="20"/>
          <w:szCs w:val="20"/>
          <w:color w:val="auto"/>
        </w:rPr>
      </w:pPr>
    </w:p>
    <w:p>
      <w:pPr>
        <w:ind w:left="640" w:right="360"/>
        <w:spacing w:after="0" w:line="237" w:lineRule="auto"/>
        <w:rPr>
          <w:sz w:val="20"/>
          <w:szCs w:val="20"/>
          <w:color w:val="auto"/>
        </w:rPr>
      </w:pPr>
      <w:r>
        <w:rPr>
          <w:rFonts w:ascii="Arial" w:cs="Arial" w:eastAsia="Arial" w:hAnsi="Arial"/>
          <w:sz w:val="18"/>
          <w:szCs w:val="18"/>
          <w:color w:val="202124"/>
        </w:rPr>
        <w:t>the Company and shall not have any of the rights or privileges of a stockholder. A Participant shall have the rights and privileges of a stockholder of the Company when, but not until, an Option is exercised.</w:t>
      </w:r>
    </w:p>
    <w:p>
      <w:pPr>
        <w:spacing w:after="0" w:line="140" w:lineRule="exact"/>
        <w:rPr>
          <w:sz w:val="20"/>
          <w:szCs w:val="20"/>
          <w:color w:val="auto"/>
        </w:rPr>
      </w:pPr>
    </w:p>
    <w:p>
      <w:pPr>
        <w:ind w:left="1300" w:hanging="656"/>
        <w:spacing w:after="0"/>
        <w:tabs>
          <w:tab w:leader="none" w:pos="1300" w:val="left"/>
        </w:tabs>
        <w:numPr>
          <w:ilvl w:val="0"/>
          <w:numId w:val="147"/>
        </w:numPr>
        <w:rPr>
          <w:rFonts w:ascii="Arial" w:cs="Arial" w:eastAsia="Arial" w:hAnsi="Arial"/>
          <w:sz w:val="18"/>
          <w:szCs w:val="18"/>
          <w:b w:val="1"/>
          <w:bCs w:val="1"/>
          <w:color w:val="202124"/>
        </w:rPr>
      </w:pPr>
      <w:r>
        <w:rPr>
          <w:rFonts w:ascii="Arial" w:cs="Arial" w:eastAsia="Arial" w:hAnsi="Arial"/>
          <w:sz w:val="18"/>
          <w:szCs w:val="18"/>
          <w:b w:val="1"/>
          <w:bCs w:val="1"/>
          <w:color w:val="202124"/>
        </w:rPr>
        <w:t>CHANGES IN THE STOCK; ADJUSTMENTS OF AN OPTION</w:t>
      </w:r>
    </w:p>
    <w:p>
      <w:pPr>
        <w:spacing w:after="0" w:line="171" w:lineRule="exact"/>
        <w:rPr>
          <w:sz w:val="20"/>
          <w:szCs w:val="20"/>
          <w:color w:val="auto"/>
        </w:rPr>
      </w:pPr>
    </w:p>
    <w:p>
      <w:pPr>
        <w:ind w:left="640" w:right="40" w:firstLine="648"/>
        <w:spacing w:after="0" w:line="259" w:lineRule="auto"/>
        <w:rPr>
          <w:sz w:val="20"/>
          <w:szCs w:val="20"/>
          <w:color w:val="auto"/>
        </w:rPr>
      </w:pPr>
      <w:r>
        <w:rPr>
          <w:rFonts w:ascii="Arial" w:cs="Arial" w:eastAsia="Arial" w:hAnsi="Arial"/>
          <w:sz w:val="17"/>
          <w:szCs w:val="17"/>
          <w:color w:val="202124"/>
        </w:rPr>
        <w:t>Whenever any change is made in the Stock or to Options outstanding under the Plan, by reason of stock dividend or by reason of division, combination or reclassification of shares, appropriate action will be taken by the Committee to</w:t>
      </w:r>
    </w:p>
    <w:p>
      <w:pPr>
        <w:spacing w:after="0" w:line="1" w:lineRule="exact"/>
        <w:rPr>
          <w:sz w:val="20"/>
          <w:szCs w:val="20"/>
          <w:color w:val="auto"/>
        </w:rPr>
      </w:pPr>
    </w:p>
    <w:p>
      <w:pPr>
        <w:ind w:left="640"/>
        <w:spacing w:after="0" w:line="237" w:lineRule="auto"/>
        <w:rPr>
          <w:sz w:val="20"/>
          <w:szCs w:val="20"/>
          <w:color w:val="auto"/>
        </w:rPr>
      </w:pPr>
      <w:r>
        <w:rPr>
          <w:rFonts w:ascii="Arial" w:cs="Arial" w:eastAsia="Arial" w:hAnsi="Arial"/>
          <w:sz w:val="18"/>
          <w:szCs w:val="18"/>
          <w:color w:val="202124"/>
        </w:rPr>
        <w:t>adjust accordingly the number of shares of the Stock subject to the Plan and the number and the Option Price of shares of the Stock subject to the Options outstanding under the Plan.</w:t>
      </w:r>
    </w:p>
    <w:p>
      <w:pPr>
        <w:spacing w:after="0" w:line="140" w:lineRule="exact"/>
        <w:rPr>
          <w:sz w:val="20"/>
          <w:szCs w:val="20"/>
          <w:color w:val="auto"/>
        </w:rPr>
      </w:pPr>
    </w:p>
    <w:p>
      <w:pPr>
        <w:ind w:left="1300" w:hanging="656"/>
        <w:spacing w:after="0"/>
        <w:tabs>
          <w:tab w:leader="none" w:pos="1300" w:val="left"/>
        </w:tabs>
        <w:numPr>
          <w:ilvl w:val="0"/>
          <w:numId w:val="148"/>
        </w:numPr>
        <w:rPr>
          <w:rFonts w:ascii="Arial" w:cs="Arial" w:eastAsia="Arial" w:hAnsi="Arial"/>
          <w:sz w:val="18"/>
          <w:szCs w:val="18"/>
          <w:b w:val="1"/>
          <w:bCs w:val="1"/>
          <w:color w:val="202124"/>
        </w:rPr>
      </w:pPr>
      <w:r>
        <w:rPr>
          <w:rFonts w:ascii="Arial" w:cs="Arial" w:eastAsia="Arial" w:hAnsi="Arial"/>
          <w:sz w:val="18"/>
          <w:szCs w:val="18"/>
          <w:b w:val="1"/>
          <w:bCs w:val="1"/>
          <w:color w:val="202124"/>
        </w:rPr>
        <w:t>USE OF FUNDS; NO INTEREST PAID</w:t>
      </w:r>
    </w:p>
    <w:p>
      <w:pPr>
        <w:spacing w:after="0" w:line="171" w:lineRule="exact"/>
        <w:rPr>
          <w:sz w:val="20"/>
          <w:szCs w:val="20"/>
          <w:color w:val="auto"/>
        </w:rPr>
      </w:pPr>
    </w:p>
    <w:p>
      <w:pPr>
        <w:ind w:left="640" w:right="80" w:firstLine="648"/>
        <w:spacing w:after="0" w:line="253" w:lineRule="auto"/>
        <w:rPr>
          <w:sz w:val="20"/>
          <w:szCs w:val="20"/>
          <w:color w:val="auto"/>
        </w:rPr>
      </w:pPr>
      <w:r>
        <w:rPr>
          <w:rFonts w:ascii="Arial" w:cs="Arial" w:eastAsia="Arial" w:hAnsi="Arial"/>
          <w:sz w:val="18"/>
          <w:szCs w:val="18"/>
          <w:color w:val="202124"/>
        </w:rPr>
        <w:t>All funds received or held by the Company under the Plan will be included in the general funds of the Company free of any trust or other restriction and may be used for any corporate purpose. No interest will be paid to any Participant or credited to any account under the Plan with respect to such funds.</w:t>
      </w:r>
    </w:p>
    <w:p>
      <w:pPr>
        <w:spacing w:after="0" w:line="128" w:lineRule="exact"/>
        <w:rPr>
          <w:sz w:val="20"/>
          <w:szCs w:val="20"/>
          <w:color w:val="auto"/>
        </w:rPr>
      </w:pPr>
    </w:p>
    <w:p>
      <w:pPr>
        <w:ind w:left="1300" w:hanging="656"/>
        <w:spacing w:after="0"/>
        <w:tabs>
          <w:tab w:leader="none" w:pos="1300" w:val="left"/>
        </w:tabs>
        <w:numPr>
          <w:ilvl w:val="0"/>
          <w:numId w:val="149"/>
        </w:numPr>
        <w:rPr>
          <w:rFonts w:ascii="Arial" w:cs="Arial" w:eastAsia="Arial" w:hAnsi="Arial"/>
          <w:sz w:val="18"/>
          <w:szCs w:val="18"/>
          <w:b w:val="1"/>
          <w:bCs w:val="1"/>
          <w:color w:val="202124"/>
        </w:rPr>
      </w:pPr>
      <w:r>
        <w:rPr>
          <w:rFonts w:ascii="Arial" w:cs="Arial" w:eastAsia="Arial" w:hAnsi="Arial"/>
          <w:sz w:val="18"/>
          <w:szCs w:val="18"/>
          <w:b w:val="1"/>
          <w:bCs w:val="1"/>
          <w:color w:val="202124"/>
        </w:rPr>
        <w:t>AMENDMENT OF THE PLAN; APPROVAL BY STOCKHOLDERS</w:t>
      </w:r>
    </w:p>
    <w:p>
      <w:pPr>
        <w:spacing w:after="0" w:line="171" w:lineRule="exact"/>
        <w:rPr>
          <w:sz w:val="20"/>
          <w:szCs w:val="20"/>
          <w:color w:val="auto"/>
        </w:rPr>
      </w:pPr>
    </w:p>
    <w:p>
      <w:pPr>
        <w:ind w:left="640" w:right="60" w:firstLine="648"/>
        <w:spacing w:after="0" w:line="251" w:lineRule="auto"/>
        <w:rPr>
          <w:sz w:val="20"/>
          <w:szCs w:val="20"/>
          <w:color w:val="auto"/>
        </w:rPr>
      </w:pPr>
      <w:r>
        <w:rPr>
          <w:rFonts w:ascii="Arial" w:cs="Arial" w:eastAsia="Arial" w:hAnsi="Arial"/>
          <w:sz w:val="17"/>
          <w:szCs w:val="17"/>
          <w:color w:val="202124"/>
        </w:rPr>
        <w:t>The Committee may amend, suspend or terminate the Plan at any time and from time to time; provided, however, that approval by the vote of the holders of more than 50% of the shares of the Company’s Stock present in person or by</w:t>
      </w:r>
    </w:p>
    <w:p>
      <w:pPr>
        <w:ind w:left="640"/>
        <w:spacing w:after="0" w:line="235" w:lineRule="auto"/>
        <w:rPr>
          <w:sz w:val="20"/>
          <w:szCs w:val="20"/>
          <w:color w:val="auto"/>
        </w:rPr>
      </w:pPr>
      <w:r>
        <w:rPr>
          <w:rFonts w:ascii="Arial" w:cs="Arial" w:eastAsia="Arial" w:hAnsi="Arial"/>
          <w:sz w:val="18"/>
          <w:szCs w:val="18"/>
          <w:color w:val="202124"/>
        </w:rPr>
        <w:t>proxy and entitled to vote at a meeting shall be required to amend the Plan (i) to increase the number of shares of Stock</w:t>
      </w:r>
    </w:p>
    <w:p>
      <w:pPr>
        <w:ind w:left="640" w:right="160"/>
        <w:spacing w:after="0" w:line="226" w:lineRule="auto"/>
        <w:rPr>
          <w:sz w:val="20"/>
          <w:szCs w:val="20"/>
          <w:color w:val="auto"/>
        </w:rPr>
      </w:pPr>
      <w:r>
        <w:rPr>
          <w:rFonts w:ascii="Arial" w:cs="Arial" w:eastAsia="Arial" w:hAnsi="Arial"/>
          <w:sz w:val="18"/>
          <w:szCs w:val="18"/>
          <w:color w:val="202124"/>
        </w:rPr>
        <w:t>available under the Plan, (ii) to decrease the Option Price below a price computed in the manner stated in subparagraph 4(b), (iii) to materially alter the requirements for eligibility to participate in the Plan, or (iv) to modify the Plan in a manner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requiring stockholder approval under the Code or the Exchange Act.</w:t>
      </w:r>
    </w:p>
    <w:p>
      <w:pPr>
        <w:spacing w:after="0" w:line="153" w:lineRule="exact"/>
        <w:rPr>
          <w:sz w:val="20"/>
          <w:szCs w:val="20"/>
          <w:color w:val="auto"/>
        </w:rPr>
      </w:pPr>
    </w:p>
    <w:p>
      <w:pPr>
        <w:ind w:left="1300" w:hanging="656"/>
        <w:spacing w:after="0"/>
        <w:tabs>
          <w:tab w:leader="none" w:pos="1300" w:val="left"/>
        </w:tabs>
        <w:numPr>
          <w:ilvl w:val="0"/>
          <w:numId w:val="150"/>
        </w:numPr>
        <w:rPr>
          <w:rFonts w:ascii="Arial" w:cs="Arial" w:eastAsia="Arial" w:hAnsi="Arial"/>
          <w:sz w:val="18"/>
          <w:szCs w:val="18"/>
          <w:b w:val="1"/>
          <w:bCs w:val="1"/>
          <w:color w:val="202124"/>
        </w:rPr>
      </w:pPr>
      <w:r>
        <w:rPr>
          <w:rFonts w:ascii="Arial" w:cs="Arial" w:eastAsia="Arial" w:hAnsi="Arial"/>
          <w:sz w:val="18"/>
          <w:szCs w:val="18"/>
          <w:b w:val="1"/>
          <w:bCs w:val="1"/>
          <w:color w:val="202124"/>
        </w:rPr>
        <w:t>ADMINISTRATION BY COMMITTEE; RULES AND REGULATIONS</w:t>
      </w:r>
    </w:p>
    <w:p>
      <w:pPr>
        <w:spacing w:after="0" w:line="171" w:lineRule="exact"/>
        <w:rPr>
          <w:rFonts w:ascii="Arial" w:cs="Arial" w:eastAsia="Arial" w:hAnsi="Arial"/>
          <w:sz w:val="18"/>
          <w:szCs w:val="18"/>
          <w:b w:val="1"/>
          <w:bCs w:val="1"/>
          <w:color w:val="202124"/>
        </w:rPr>
      </w:pPr>
    </w:p>
    <w:p>
      <w:pPr>
        <w:ind w:left="1940" w:hanging="648"/>
        <w:spacing w:after="0"/>
        <w:tabs>
          <w:tab w:leader="none" w:pos="1940" w:val="left"/>
        </w:tabs>
        <w:numPr>
          <w:ilvl w:val="1"/>
          <w:numId w:val="150"/>
        </w:numPr>
        <w:rPr>
          <w:rFonts w:ascii="Arial" w:cs="Arial" w:eastAsia="Arial" w:hAnsi="Arial"/>
          <w:sz w:val="18"/>
          <w:szCs w:val="18"/>
          <w:color w:val="202124"/>
        </w:rPr>
      </w:pPr>
      <w:r>
        <w:rPr>
          <w:rFonts w:ascii="Arial" w:cs="Arial" w:eastAsia="Arial" w:hAnsi="Arial"/>
          <w:sz w:val="18"/>
          <w:szCs w:val="18"/>
          <w:color w:val="202124"/>
        </w:rPr>
        <w:t>Administration. The Plan shall be administered by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B-5</w:t>
            </w:r>
          </w:p>
        </w:tc>
      </w:tr>
    </w:tbl>
    <w:p>
      <w:pPr>
        <w:sectPr>
          <w:pgSz w:w="11900" w:h="16838" w:orient="portrait"/>
          <w:cols w:equalWidth="0" w:num="1">
            <w:col w:w="10360"/>
          </w:cols>
          <w:pgMar w:left="440" w:top="106" w:right="1099" w:bottom="1440" w:gutter="0" w:footer="0" w:header="0"/>
        </w:sectPr>
      </w:pPr>
    </w:p>
    <w:bookmarkStart w:id="95" w:name="page96"/>
    <w:bookmarkEnd w:id="9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60" w:firstLine="652"/>
        <w:spacing w:after="0" w:line="236" w:lineRule="auto"/>
        <w:tabs>
          <w:tab w:leader="none" w:pos="1936" w:val="left"/>
        </w:tabs>
        <w:numPr>
          <w:ilvl w:val="1"/>
          <w:numId w:val="151"/>
        </w:numPr>
        <w:rPr>
          <w:rFonts w:ascii="Arial" w:cs="Arial" w:eastAsia="Arial" w:hAnsi="Arial"/>
          <w:sz w:val="18"/>
          <w:szCs w:val="18"/>
          <w:color w:val="202124"/>
        </w:rPr>
      </w:pPr>
      <w:r>
        <w:rPr>
          <w:rFonts w:ascii="Arial" w:cs="Arial" w:eastAsia="Arial" w:hAnsi="Arial"/>
          <w:sz w:val="18"/>
          <w:szCs w:val="18"/>
          <w:color w:val="202124"/>
        </w:rPr>
        <w:t>Duties and Powers of Committee. It shall be the duty of the Committee to conduct the general administration of the Plan in accordance with its provisions. The Committee shall have the power to interpret the Plan and the Options and to adopt such rules for the administration, interpretation and application of the Plan as are consistent therewith and to interpret, amend or revoke any such rules. The Board shall have no right to exercise any of the rights or duties of the Committee under the Plan.</w:t>
      </w:r>
    </w:p>
    <w:p>
      <w:pPr>
        <w:spacing w:after="0" w:line="143" w:lineRule="exact"/>
        <w:rPr>
          <w:rFonts w:ascii="Arial" w:cs="Arial" w:eastAsia="Arial" w:hAnsi="Arial"/>
          <w:sz w:val="18"/>
          <w:szCs w:val="18"/>
          <w:color w:val="202124"/>
        </w:rPr>
      </w:pPr>
    </w:p>
    <w:p>
      <w:pPr>
        <w:ind w:left="640" w:right="360" w:firstLine="652"/>
        <w:spacing w:after="0" w:line="301" w:lineRule="auto"/>
        <w:tabs>
          <w:tab w:leader="none" w:pos="1936" w:val="left"/>
        </w:tabs>
        <w:numPr>
          <w:ilvl w:val="1"/>
          <w:numId w:val="151"/>
        </w:numPr>
        <w:rPr>
          <w:rFonts w:ascii="Arial" w:cs="Arial" w:eastAsia="Arial" w:hAnsi="Arial"/>
          <w:sz w:val="17"/>
          <w:szCs w:val="17"/>
          <w:color w:val="202124"/>
        </w:rPr>
      </w:pPr>
      <w:r>
        <w:rPr>
          <w:rFonts w:ascii="Arial" w:cs="Arial" w:eastAsia="Arial" w:hAnsi="Arial"/>
          <w:sz w:val="17"/>
          <w:szCs w:val="17"/>
          <w:color w:val="202124"/>
        </w:rPr>
        <w:t>Majority Rule. The Committee shall act by a majority of its members in office. The Committee may act either by vote at a meeting or by a memorandum or other written instrument signed by a majority of the Committee.</w:t>
      </w:r>
    </w:p>
    <w:p>
      <w:pPr>
        <w:spacing w:after="0" w:line="90" w:lineRule="exact"/>
        <w:rPr>
          <w:rFonts w:ascii="Arial" w:cs="Arial" w:eastAsia="Arial" w:hAnsi="Arial"/>
          <w:sz w:val="17"/>
          <w:szCs w:val="17"/>
          <w:color w:val="202124"/>
        </w:rPr>
      </w:pPr>
    </w:p>
    <w:p>
      <w:pPr>
        <w:ind w:left="640" w:right="100" w:firstLine="652"/>
        <w:spacing w:after="0" w:line="236" w:lineRule="auto"/>
        <w:tabs>
          <w:tab w:leader="none" w:pos="1936" w:val="left"/>
        </w:tabs>
        <w:numPr>
          <w:ilvl w:val="1"/>
          <w:numId w:val="151"/>
        </w:numPr>
        <w:rPr>
          <w:rFonts w:ascii="Arial" w:cs="Arial" w:eastAsia="Arial" w:hAnsi="Arial"/>
          <w:sz w:val="18"/>
          <w:szCs w:val="18"/>
          <w:color w:val="202124"/>
        </w:rPr>
      </w:pPr>
      <w:r>
        <w:rPr>
          <w:rFonts w:ascii="Arial" w:cs="Arial" w:eastAsia="Arial" w:hAnsi="Arial"/>
          <w:sz w:val="18"/>
          <w:szCs w:val="18"/>
          <w:color w:val="202124"/>
        </w:rPr>
        <w:t>Professional Assistance; Good Faith Actions. The Committee may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41" w:lineRule="exact"/>
        <w:rPr>
          <w:rFonts w:ascii="Arial" w:cs="Arial" w:eastAsia="Arial" w:hAnsi="Arial"/>
          <w:sz w:val="18"/>
          <w:szCs w:val="18"/>
          <w:color w:val="202124"/>
        </w:rPr>
      </w:pPr>
    </w:p>
    <w:p>
      <w:pPr>
        <w:ind w:left="1300" w:hanging="656"/>
        <w:spacing w:after="0"/>
        <w:tabs>
          <w:tab w:leader="none" w:pos="1300" w:val="left"/>
        </w:tabs>
        <w:numPr>
          <w:ilvl w:val="0"/>
          <w:numId w:val="152"/>
        </w:numPr>
        <w:rPr>
          <w:rFonts w:ascii="Arial" w:cs="Arial" w:eastAsia="Arial" w:hAnsi="Arial"/>
          <w:sz w:val="18"/>
          <w:szCs w:val="18"/>
          <w:b w:val="1"/>
          <w:bCs w:val="1"/>
          <w:color w:val="202124"/>
        </w:rPr>
      </w:pPr>
      <w:r>
        <w:rPr>
          <w:rFonts w:ascii="Arial" w:cs="Arial" w:eastAsia="Arial" w:hAnsi="Arial"/>
          <w:sz w:val="18"/>
          <w:szCs w:val="18"/>
          <w:b w:val="1"/>
          <w:bCs w:val="1"/>
          <w:color w:val="202124"/>
        </w:rPr>
        <w:t>NO RIGHTS AS AN EMPLOYEE</w:t>
      </w:r>
    </w:p>
    <w:p>
      <w:pPr>
        <w:spacing w:after="0" w:line="171" w:lineRule="exact"/>
        <w:rPr>
          <w:sz w:val="20"/>
          <w:szCs w:val="20"/>
          <w:color w:val="auto"/>
        </w:rPr>
      </w:pPr>
    </w:p>
    <w:p>
      <w:pPr>
        <w:ind w:left="640" w:firstLine="648"/>
        <w:spacing w:after="0" w:line="237" w:lineRule="auto"/>
        <w:rPr>
          <w:sz w:val="20"/>
          <w:szCs w:val="20"/>
          <w:color w:val="auto"/>
        </w:rPr>
      </w:pPr>
      <w:r>
        <w:rPr>
          <w:rFonts w:ascii="Arial" w:cs="Arial" w:eastAsia="Arial" w:hAnsi="Arial"/>
          <w:sz w:val="18"/>
          <w:szCs w:val="18"/>
          <w:color w:val="202124"/>
        </w:rPr>
        <w:t>Nothing in the Plan shall be construed to give any person (including any Eligible Employee or Participant) the right to remain in the employ of the Company or a Parent or Subsidiary of the Company or to affect the right of the Company or</w:t>
      </w:r>
    </w:p>
    <w:p>
      <w:pPr>
        <w:spacing w:after="0" w:line="1" w:lineRule="exact"/>
        <w:rPr>
          <w:sz w:val="20"/>
          <w:szCs w:val="20"/>
          <w:color w:val="auto"/>
        </w:rPr>
      </w:pPr>
    </w:p>
    <w:p>
      <w:pPr>
        <w:ind w:left="640" w:right="80"/>
        <w:spacing w:after="0" w:line="250" w:lineRule="auto"/>
        <w:rPr>
          <w:sz w:val="20"/>
          <w:szCs w:val="20"/>
          <w:color w:val="auto"/>
        </w:rPr>
      </w:pPr>
      <w:r>
        <w:rPr>
          <w:rFonts w:ascii="Arial" w:cs="Arial" w:eastAsia="Arial" w:hAnsi="Arial"/>
          <w:sz w:val="18"/>
          <w:szCs w:val="18"/>
          <w:color w:val="202124"/>
        </w:rPr>
        <w:t>a Parent or Subsidiary of the Company to terminate or change the terms and conditions of the employment of any person (including any Eligible Employee or Participant) at any time with or without cause.</w:t>
      </w:r>
    </w:p>
    <w:p>
      <w:pPr>
        <w:spacing w:after="0" w:line="131" w:lineRule="exact"/>
        <w:rPr>
          <w:sz w:val="20"/>
          <w:szCs w:val="20"/>
          <w:color w:val="auto"/>
        </w:rPr>
      </w:pPr>
    </w:p>
    <w:p>
      <w:pPr>
        <w:ind w:left="1300" w:hanging="656"/>
        <w:spacing w:after="0"/>
        <w:tabs>
          <w:tab w:leader="none" w:pos="1300" w:val="left"/>
        </w:tabs>
        <w:numPr>
          <w:ilvl w:val="0"/>
          <w:numId w:val="153"/>
        </w:numPr>
        <w:rPr>
          <w:rFonts w:ascii="Arial" w:cs="Arial" w:eastAsia="Arial" w:hAnsi="Arial"/>
          <w:sz w:val="18"/>
          <w:szCs w:val="18"/>
          <w:b w:val="1"/>
          <w:bCs w:val="1"/>
          <w:color w:val="202124"/>
        </w:rPr>
      </w:pPr>
      <w:r>
        <w:rPr>
          <w:rFonts w:ascii="Arial" w:cs="Arial" w:eastAsia="Arial" w:hAnsi="Arial"/>
          <w:sz w:val="18"/>
          <w:szCs w:val="18"/>
          <w:b w:val="1"/>
          <w:bCs w:val="1"/>
          <w:color w:val="202124"/>
        </w:rPr>
        <w:t>MERGER, ACQUISITION OR LIQUIDATION OF THE COMPANY</w:t>
      </w:r>
    </w:p>
    <w:p>
      <w:pPr>
        <w:spacing w:after="0" w:line="171" w:lineRule="exact"/>
        <w:rPr>
          <w:sz w:val="20"/>
          <w:szCs w:val="20"/>
          <w:color w:val="auto"/>
        </w:rPr>
      </w:pPr>
    </w:p>
    <w:p>
      <w:pPr>
        <w:ind w:left="640" w:right="240" w:firstLine="648"/>
        <w:spacing w:after="0" w:line="251" w:lineRule="auto"/>
        <w:rPr>
          <w:sz w:val="20"/>
          <w:szCs w:val="20"/>
          <w:color w:val="auto"/>
        </w:rPr>
      </w:pPr>
      <w:r>
        <w:rPr>
          <w:rFonts w:ascii="Arial" w:cs="Arial" w:eastAsia="Arial" w:hAnsi="Arial"/>
          <w:sz w:val="17"/>
          <w:szCs w:val="17"/>
          <w:color w:val="202124"/>
        </w:rPr>
        <w:t>In the event of the merger or consolidation of the Company into another corporation, the acquisition by another corporation of all or substantially all of the Company’s assets or 80% or more of the Company’s then outstanding voting</w:t>
      </w:r>
    </w:p>
    <w:p>
      <w:pPr>
        <w:ind w:left="640"/>
        <w:spacing w:after="0" w:line="235" w:lineRule="auto"/>
        <w:rPr>
          <w:sz w:val="20"/>
          <w:szCs w:val="20"/>
          <w:color w:val="auto"/>
        </w:rPr>
      </w:pPr>
      <w:r>
        <w:rPr>
          <w:rFonts w:ascii="Arial" w:cs="Arial" w:eastAsia="Arial" w:hAnsi="Arial"/>
          <w:sz w:val="18"/>
          <w:szCs w:val="18"/>
          <w:color w:val="202124"/>
        </w:rPr>
        <w:t>stock or the liquidation or dissolution of the Company, the Date of Exercise with respect to outstanding Options shall be</w:t>
      </w:r>
    </w:p>
    <w:p>
      <w:pPr>
        <w:ind w:left="640" w:right="300"/>
        <w:spacing w:after="0" w:line="237" w:lineRule="auto"/>
        <w:rPr>
          <w:sz w:val="20"/>
          <w:szCs w:val="20"/>
          <w:color w:val="auto"/>
        </w:rPr>
      </w:pPr>
      <w:r>
        <w:rPr>
          <w:rFonts w:ascii="Arial" w:cs="Arial" w:eastAsia="Arial" w:hAnsi="Arial"/>
          <w:sz w:val="18"/>
          <w:szCs w:val="18"/>
          <w:color w:val="202124"/>
        </w:rPr>
        <w:t>the effective date of such merger, consolidation, acquisition, liquidation or dissolution unless the Committee shall, in its sole discretion, provide for the assumption or substitution of such Options.</w:t>
      </w:r>
    </w:p>
    <w:p>
      <w:pPr>
        <w:spacing w:after="0" w:line="140" w:lineRule="exact"/>
        <w:rPr>
          <w:sz w:val="20"/>
          <w:szCs w:val="20"/>
          <w:color w:val="auto"/>
        </w:rPr>
      </w:pPr>
    </w:p>
    <w:p>
      <w:pPr>
        <w:ind w:left="1300" w:hanging="656"/>
        <w:spacing w:after="0"/>
        <w:tabs>
          <w:tab w:leader="none" w:pos="1300" w:val="left"/>
        </w:tabs>
        <w:numPr>
          <w:ilvl w:val="0"/>
          <w:numId w:val="154"/>
        </w:numPr>
        <w:rPr>
          <w:rFonts w:ascii="Arial" w:cs="Arial" w:eastAsia="Arial" w:hAnsi="Arial"/>
          <w:sz w:val="18"/>
          <w:szCs w:val="18"/>
          <w:b w:val="1"/>
          <w:bCs w:val="1"/>
          <w:color w:val="202124"/>
        </w:rPr>
      </w:pPr>
      <w:r>
        <w:rPr>
          <w:rFonts w:ascii="Arial" w:cs="Arial" w:eastAsia="Arial" w:hAnsi="Arial"/>
          <w:sz w:val="18"/>
          <w:szCs w:val="18"/>
          <w:b w:val="1"/>
          <w:bCs w:val="1"/>
          <w:color w:val="202124"/>
        </w:rPr>
        <w:t>TERM</w:t>
      </w:r>
    </w:p>
    <w:p>
      <w:pPr>
        <w:spacing w:after="0" w:line="171" w:lineRule="exact"/>
        <w:rPr>
          <w:sz w:val="20"/>
          <w:szCs w:val="20"/>
          <w:color w:val="auto"/>
        </w:rPr>
      </w:pPr>
    </w:p>
    <w:p>
      <w:pPr>
        <w:ind w:left="640" w:right="160" w:firstLine="648"/>
        <w:spacing w:after="0" w:line="253" w:lineRule="auto"/>
        <w:rPr>
          <w:sz w:val="20"/>
          <w:szCs w:val="20"/>
          <w:color w:val="auto"/>
        </w:rPr>
      </w:pPr>
      <w:r>
        <w:rPr>
          <w:rFonts w:ascii="Arial" w:cs="Arial" w:eastAsia="Arial" w:hAnsi="Arial"/>
          <w:sz w:val="18"/>
          <w:szCs w:val="18"/>
          <w:color w:val="202124"/>
        </w:rPr>
        <w:t>No Option may be granted during any period of suspension or after termination of the Plan, and in no event may any Option be granted under the Plan after December 31, 2026, unless extended by the Board of Directors of the Company.</w:t>
      </w:r>
    </w:p>
    <w:p>
      <w:pPr>
        <w:spacing w:after="0" w:line="128" w:lineRule="exact"/>
        <w:rPr>
          <w:sz w:val="20"/>
          <w:szCs w:val="20"/>
          <w:color w:val="auto"/>
        </w:rPr>
      </w:pPr>
    </w:p>
    <w:p>
      <w:pPr>
        <w:ind w:left="1300" w:hanging="656"/>
        <w:spacing w:after="0"/>
        <w:tabs>
          <w:tab w:leader="none" w:pos="1300" w:val="left"/>
        </w:tabs>
        <w:numPr>
          <w:ilvl w:val="0"/>
          <w:numId w:val="155"/>
        </w:numPr>
        <w:rPr>
          <w:rFonts w:ascii="Arial" w:cs="Arial" w:eastAsia="Arial" w:hAnsi="Arial"/>
          <w:sz w:val="18"/>
          <w:szCs w:val="18"/>
          <w:b w:val="1"/>
          <w:bCs w:val="1"/>
          <w:color w:val="202124"/>
        </w:rPr>
      </w:pPr>
      <w:r>
        <w:rPr>
          <w:rFonts w:ascii="Arial" w:cs="Arial" w:eastAsia="Arial" w:hAnsi="Arial"/>
          <w:sz w:val="18"/>
          <w:szCs w:val="18"/>
          <w:b w:val="1"/>
          <w:bCs w:val="1"/>
          <w:color w:val="202124"/>
        </w:rPr>
        <w:t>EFFECT UPON OTHER PLANS</w:t>
      </w:r>
    </w:p>
    <w:p>
      <w:pPr>
        <w:spacing w:after="0" w:line="171" w:lineRule="exact"/>
        <w:rPr>
          <w:sz w:val="20"/>
          <w:szCs w:val="20"/>
          <w:color w:val="auto"/>
        </w:rPr>
      </w:pPr>
    </w:p>
    <w:p>
      <w:pPr>
        <w:ind w:left="640" w:right="60" w:firstLine="648"/>
        <w:spacing w:after="0" w:line="251" w:lineRule="auto"/>
        <w:rPr>
          <w:sz w:val="20"/>
          <w:szCs w:val="20"/>
          <w:color w:val="auto"/>
        </w:rPr>
      </w:pPr>
      <w:r>
        <w:rPr>
          <w:rFonts w:ascii="Arial" w:cs="Arial" w:eastAsia="Arial" w:hAnsi="Arial"/>
          <w:sz w:val="17"/>
          <w:szCs w:val="17"/>
          <w:color w:val="202124"/>
        </w:rPr>
        <w:t>The adoption of the Plan shall not affect any other compensation or incentive plans in effect for the Company or a Parent or Subsidiary of the Company. Nothing in this Plan shall be construed to limit the right of the Company or a Parent</w:t>
      </w:r>
    </w:p>
    <w:p>
      <w:pPr>
        <w:ind w:left="640"/>
        <w:spacing w:after="0" w:line="235" w:lineRule="auto"/>
        <w:rPr>
          <w:sz w:val="20"/>
          <w:szCs w:val="20"/>
          <w:color w:val="auto"/>
        </w:rPr>
      </w:pPr>
      <w:r>
        <w:rPr>
          <w:rFonts w:ascii="Arial" w:cs="Arial" w:eastAsia="Arial" w:hAnsi="Arial"/>
          <w:sz w:val="18"/>
          <w:szCs w:val="18"/>
          <w:color w:val="202124"/>
        </w:rPr>
        <w:t>or Subsidiary of the Company (a) to establish any other forms of incentives or compensation for employees of the</w:t>
      </w:r>
    </w:p>
    <w:p>
      <w:pPr>
        <w:ind w:left="640" w:right="20"/>
        <w:spacing w:after="0"/>
        <w:rPr>
          <w:sz w:val="20"/>
          <w:szCs w:val="20"/>
          <w:color w:val="auto"/>
        </w:rPr>
      </w:pPr>
      <w:r>
        <w:rPr>
          <w:rFonts w:ascii="Arial" w:cs="Arial" w:eastAsia="Arial" w:hAnsi="Arial"/>
          <w:sz w:val="17"/>
          <w:szCs w:val="17"/>
          <w:color w:val="202124"/>
        </w:rPr>
        <w:t>Company or a Parent or Subsidiary of the Company or (b) to grant or assume options otherwise than under this Plan in connection with any proper corporate purpose, including, but not by way of limitation, the grant or assumption of options in</w:t>
      </w:r>
    </w:p>
    <w:p>
      <w:pPr>
        <w:spacing w:after="0" w:line="1"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202124"/>
        </w:rPr>
        <w:t>connection with the acquisition, by purchase, lease, merger, consolidation or otherwise, of the business, stock or assets of any corporation, firm or association.</w:t>
      </w:r>
    </w:p>
    <w:p>
      <w:pPr>
        <w:spacing w:after="0" w:line="131" w:lineRule="exact"/>
        <w:rPr>
          <w:sz w:val="20"/>
          <w:szCs w:val="20"/>
          <w:color w:val="auto"/>
        </w:rPr>
      </w:pPr>
    </w:p>
    <w:p>
      <w:pPr>
        <w:ind w:left="1300" w:hanging="656"/>
        <w:spacing w:after="0"/>
        <w:tabs>
          <w:tab w:leader="none" w:pos="1300" w:val="left"/>
        </w:tabs>
        <w:numPr>
          <w:ilvl w:val="0"/>
          <w:numId w:val="156"/>
        </w:numPr>
        <w:rPr>
          <w:rFonts w:ascii="Arial" w:cs="Arial" w:eastAsia="Arial" w:hAnsi="Arial"/>
          <w:sz w:val="18"/>
          <w:szCs w:val="18"/>
          <w:b w:val="1"/>
          <w:bCs w:val="1"/>
          <w:color w:val="202124"/>
        </w:rPr>
      </w:pPr>
      <w:r>
        <w:rPr>
          <w:rFonts w:ascii="Arial" w:cs="Arial" w:eastAsia="Arial" w:hAnsi="Arial"/>
          <w:sz w:val="18"/>
          <w:szCs w:val="18"/>
          <w:b w:val="1"/>
          <w:bCs w:val="1"/>
          <w:color w:val="202124"/>
        </w:rPr>
        <w:t>RULE 16b-3 RESTRICTIONS UPON DISPOSITIONS OF STOCK</w:t>
      </w:r>
    </w:p>
    <w:p>
      <w:pPr>
        <w:spacing w:after="0" w:line="171" w:lineRule="exact"/>
        <w:rPr>
          <w:sz w:val="20"/>
          <w:szCs w:val="20"/>
          <w:color w:val="auto"/>
        </w:rPr>
      </w:pPr>
    </w:p>
    <w:p>
      <w:pPr>
        <w:ind w:left="640" w:right="800" w:firstLine="648"/>
        <w:spacing w:after="0" w:line="237" w:lineRule="auto"/>
        <w:rPr>
          <w:sz w:val="20"/>
          <w:szCs w:val="20"/>
          <w:color w:val="auto"/>
        </w:rPr>
      </w:pPr>
      <w:r>
        <w:rPr>
          <w:rFonts w:ascii="Arial" w:cs="Arial" w:eastAsia="Arial" w:hAnsi="Arial"/>
          <w:sz w:val="18"/>
          <w:szCs w:val="18"/>
          <w:color w:val="202124"/>
        </w:rPr>
        <w:t>The Plan is intended to conform to the extent necessary with all provisions of the Securities Act, and the Exchange Act and any and all regulations and rules promulgated by the Securities and Exchange Commission</w:t>
      </w:r>
    </w:p>
    <w:p>
      <w:pPr>
        <w:spacing w:after="0" w:line="1" w:lineRule="exact"/>
        <w:rPr>
          <w:sz w:val="20"/>
          <w:szCs w:val="20"/>
          <w:color w:val="auto"/>
        </w:rPr>
      </w:pPr>
    </w:p>
    <w:p>
      <w:pPr>
        <w:jc w:val="both"/>
        <w:ind w:left="640" w:right="360"/>
        <w:spacing w:after="0"/>
        <w:rPr>
          <w:sz w:val="20"/>
          <w:szCs w:val="20"/>
          <w:color w:val="auto"/>
        </w:rPr>
      </w:pPr>
      <w:r>
        <w:rPr>
          <w:rFonts w:ascii="Arial" w:cs="Arial" w:eastAsia="Arial" w:hAnsi="Arial"/>
          <w:sz w:val="17"/>
          <w:szCs w:val="17"/>
          <w:color w:val="202124"/>
        </w:rPr>
        <w:t>thereunder, including, without limitation, Rule 16b-3. Notwithstanding anything herein to the contrary, the Plan shall be administered, and Options shall be granted and may be exercised, only in such a manner as to conform to such laws,</w:t>
      </w:r>
    </w:p>
    <w:p>
      <w:pPr>
        <w:spacing w:after="0" w:line="1"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202124"/>
        </w:rPr>
        <w:t>rules and regulations. To the extent permitted by applicable law, the Plan and Options granted hereunder shall be deemed amended to the extent necessary to conform to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 xml:space="preserve">B-6  </w:t>
      </w:r>
      <w:r>
        <w:rPr>
          <w:sz w:val="1"/>
          <w:szCs w:val="1"/>
          <w:color w:val="auto"/>
        </w:rPr>
        <w:drawing>
          <wp:inline distT="0" distB="0" distL="0" distR="0">
            <wp:extent cx="1165860"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65860" cy="137160"/>
                    </a:xfrm>
                    <a:prstGeom prst="rect">
                      <a:avLst/>
                    </a:prstGeom>
                    <a:noFill/>
                    <a:ln>
                      <a:noFill/>
                    </a:ln>
                  </pic:spPr>
                </pic:pic>
              </a:graphicData>
            </a:graphic>
          </wp:inline>
        </w:drawing>
      </w:r>
      <w:r>
        <w:rPr>
          <w:rFonts w:ascii="Arial" w:cs="Arial" w:eastAsia="Arial" w:hAnsi="Arial"/>
          <w:sz w:val="18"/>
          <w:szCs w:val="18"/>
          <w:color w:val="202124"/>
        </w:rPr>
        <w:t xml:space="preserve">                                                          2026 Proxy Statement</w:t>
      </w:r>
    </w:p>
    <w:p>
      <w:pPr>
        <w:sectPr>
          <w:pgSz w:w="11900" w:h="16838" w:orient="portrait"/>
          <w:cols w:equalWidth="0" w:num="1">
            <w:col w:w="10360"/>
          </w:cols>
          <w:pgMar w:left="440" w:top="106" w:right="1099" w:bottom="1440" w:gutter="0" w:footer="0" w:header="0"/>
        </w:sectPr>
      </w:pPr>
    </w:p>
    <w:bookmarkStart w:id="96" w:name="page97"/>
    <w:bookmarkEnd w:id="9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93783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32650" cy="937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hanging="656"/>
        <w:spacing w:after="0"/>
        <w:tabs>
          <w:tab w:leader="none" w:pos="1300" w:val="left"/>
        </w:tabs>
        <w:numPr>
          <w:ilvl w:val="0"/>
          <w:numId w:val="157"/>
        </w:numPr>
        <w:rPr>
          <w:rFonts w:ascii="Arial" w:cs="Arial" w:eastAsia="Arial" w:hAnsi="Arial"/>
          <w:sz w:val="18"/>
          <w:szCs w:val="18"/>
          <w:b w:val="1"/>
          <w:bCs w:val="1"/>
          <w:color w:val="202124"/>
        </w:rPr>
      </w:pPr>
      <w:r>
        <w:rPr>
          <w:rFonts w:ascii="Arial" w:cs="Arial" w:eastAsia="Arial" w:hAnsi="Arial"/>
          <w:sz w:val="18"/>
          <w:szCs w:val="18"/>
          <w:b w:val="1"/>
          <w:bCs w:val="1"/>
          <w:color w:val="202124"/>
        </w:rPr>
        <w:t>NOTICES</w:t>
      </w:r>
    </w:p>
    <w:p>
      <w:pPr>
        <w:spacing w:after="0" w:line="171" w:lineRule="exact"/>
        <w:rPr>
          <w:sz w:val="20"/>
          <w:szCs w:val="20"/>
          <w:color w:val="auto"/>
        </w:rPr>
      </w:pPr>
    </w:p>
    <w:p>
      <w:pPr>
        <w:ind w:left="640" w:right="80" w:firstLine="648"/>
        <w:spacing w:after="0" w:line="237" w:lineRule="auto"/>
        <w:rPr>
          <w:sz w:val="20"/>
          <w:szCs w:val="20"/>
          <w:color w:val="auto"/>
        </w:rPr>
      </w:pPr>
      <w:r>
        <w:rPr>
          <w:rFonts w:ascii="Arial" w:cs="Arial" w:eastAsia="Arial" w:hAnsi="Arial"/>
          <w:sz w:val="18"/>
          <w:szCs w:val="18"/>
          <w:color w:val="202124"/>
        </w:rPr>
        <w:t>Any notice to be given under the terms of the Plan to the Company shall be addressed to the Company in care of its Secretary or any designee and any notice to be given to a Participant shall be addressed to Participant’s last address</w:t>
      </w:r>
    </w:p>
    <w:p>
      <w:pPr>
        <w:ind w:left="640"/>
        <w:spacing w:after="0" w:line="235" w:lineRule="auto"/>
        <w:rPr>
          <w:sz w:val="20"/>
          <w:szCs w:val="20"/>
          <w:color w:val="auto"/>
        </w:rPr>
      </w:pPr>
      <w:r>
        <w:rPr>
          <w:rFonts w:ascii="Arial" w:cs="Arial" w:eastAsia="Arial" w:hAnsi="Arial"/>
          <w:sz w:val="18"/>
          <w:szCs w:val="18"/>
          <w:color w:val="202124"/>
        </w:rPr>
        <w:t>as reflected in the Company’s records and may be given either in writing or via electronic communication to the extent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202124"/>
        </w:rPr>
        <w:t>permitted by law. By a notice given pursuant to this paragraph, either party may hereafter designate a different address for notices to be given. Any notice which is required to be given to a Participant shall, if the Participant is then deceased, be</w:t>
      </w:r>
    </w:p>
    <w:p>
      <w:pPr>
        <w:ind w:left="640"/>
        <w:spacing w:after="0" w:line="235" w:lineRule="auto"/>
        <w:rPr>
          <w:sz w:val="20"/>
          <w:szCs w:val="20"/>
          <w:color w:val="auto"/>
        </w:rPr>
      </w:pPr>
      <w:r>
        <w:rPr>
          <w:rFonts w:ascii="Arial" w:cs="Arial" w:eastAsia="Arial" w:hAnsi="Arial"/>
          <w:sz w:val="18"/>
          <w:szCs w:val="18"/>
          <w:color w:val="202124"/>
        </w:rPr>
        <w:t>given to the Participant’s personal representative if such representative has previously informed the Company of the</w:t>
      </w:r>
    </w:p>
    <w:p>
      <w:pPr>
        <w:ind w:left="640" w:right="240"/>
        <w:spacing w:after="0"/>
        <w:rPr>
          <w:sz w:val="20"/>
          <w:szCs w:val="20"/>
          <w:color w:val="auto"/>
        </w:rPr>
      </w:pPr>
      <w:r>
        <w:rPr>
          <w:rFonts w:ascii="Arial" w:cs="Arial" w:eastAsia="Arial" w:hAnsi="Arial"/>
          <w:sz w:val="17"/>
          <w:szCs w:val="17"/>
          <w:color w:val="202124"/>
        </w:rPr>
        <w:t>representative status and address by notice under this paragraph. Any notice shall have been deemed duly given when received by the Company or when sent to a Participant by the Company to Participant’s last known mailing address 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202124"/>
        </w:rPr>
        <w:t>delivered to an electronic mailbox accessible by Participant as permitted by law.</w:t>
      </w:r>
    </w:p>
    <w:p>
      <w:pPr>
        <w:spacing w:after="0" w:line="153" w:lineRule="exact"/>
        <w:rPr>
          <w:sz w:val="20"/>
          <w:szCs w:val="20"/>
          <w:color w:val="auto"/>
        </w:rPr>
      </w:pPr>
    </w:p>
    <w:p>
      <w:pPr>
        <w:ind w:left="1300" w:hanging="656"/>
        <w:spacing w:after="0"/>
        <w:tabs>
          <w:tab w:leader="none" w:pos="1300" w:val="left"/>
        </w:tabs>
        <w:numPr>
          <w:ilvl w:val="0"/>
          <w:numId w:val="158"/>
        </w:numPr>
        <w:rPr>
          <w:rFonts w:ascii="Arial" w:cs="Arial" w:eastAsia="Arial" w:hAnsi="Arial"/>
          <w:sz w:val="18"/>
          <w:szCs w:val="18"/>
          <w:b w:val="1"/>
          <w:bCs w:val="1"/>
          <w:color w:val="202124"/>
        </w:rPr>
      </w:pPr>
      <w:r>
        <w:rPr>
          <w:rFonts w:ascii="Arial" w:cs="Arial" w:eastAsia="Arial" w:hAnsi="Arial"/>
          <w:sz w:val="18"/>
          <w:szCs w:val="18"/>
          <w:b w:val="1"/>
          <w:bCs w:val="1"/>
          <w:color w:val="202124"/>
        </w:rPr>
        <w:t>TITLES</w:t>
      </w:r>
    </w:p>
    <w:p>
      <w:pPr>
        <w:spacing w:after="0" w:line="171" w:lineRule="exact"/>
        <w:rPr>
          <w:sz w:val="20"/>
          <w:szCs w:val="20"/>
          <w:color w:val="auto"/>
        </w:rPr>
      </w:pPr>
    </w:p>
    <w:p>
      <w:pPr>
        <w:ind w:left="640" w:right="40" w:firstLine="648"/>
        <w:spacing w:after="0" w:line="271" w:lineRule="auto"/>
        <w:rPr>
          <w:sz w:val="20"/>
          <w:szCs w:val="20"/>
          <w:color w:val="auto"/>
        </w:rPr>
      </w:pPr>
      <w:r>
        <w:rPr>
          <w:rFonts w:ascii="Arial" w:cs="Arial" w:eastAsia="Arial" w:hAnsi="Arial"/>
          <w:sz w:val="18"/>
          <w:szCs w:val="18"/>
          <w:color w:val="202124"/>
        </w:rPr>
        <w:t>Titles are provided herein for convenience only and are not to serve as a basis for interpretation or construction of the Plan.</w:t>
      </w:r>
    </w:p>
    <w:p>
      <w:pPr>
        <w:spacing w:after="0" w:line="100" w:lineRule="exact"/>
        <w:rPr>
          <w:sz w:val="20"/>
          <w:szCs w:val="20"/>
          <w:color w:val="auto"/>
        </w:rPr>
      </w:pPr>
    </w:p>
    <w:p>
      <w:pPr>
        <w:ind w:left="1300" w:hanging="656"/>
        <w:spacing w:after="0"/>
        <w:tabs>
          <w:tab w:leader="none" w:pos="1300" w:val="left"/>
        </w:tabs>
        <w:numPr>
          <w:ilvl w:val="0"/>
          <w:numId w:val="159"/>
        </w:numPr>
        <w:rPr>
          <w:rFonts w:ascii="Arial" w:cs="Arial" w:eastAsia="Arial" w:hAnsi="Arial"/>
          <w:sz w:val="18"/>
          <w:szCs w:val="18"/>
          <w:b w:val="1"/>
          <w:bCs w:val="1"/>
          <w:color w:val="202124"/>
        </w:rPr>
      </w:pPr>
      <w:r>
        <w:rPr>
          <w:rFonts w:ascii="Arial" w:cs="Arial" w:eastAsia="Arial" w:hAnsi="Arial"/>
          <w:sz w:val="18"/>
          <w:szCs w:val="18"/>
          <w:b w:val="1"/>
          <w:bCs w:val="1"/>
          <w:color w:val="202124"/>
        </w:rPr>
        <w:t>TAX WITHHOLDING</w:t>
      </w:r>
    </w:p>
    <w:p>
      <w:pPr>
        <w:spacing w:after="0" w:line="171" w:lineRule="exact"/>
        <w:rPr>
          <w:rFonts w:ascii="Arial" w:cs="Arial" w:eastAsia="Arial" w:hAnsi="Arial"/>
          <w:sz w:val="18"/>
          <w:szCs w:val="18"/>
          <w:b w:val="1"/>
          <w:bCs w:val="1"/>
          <w:color w:val="202124"/>
        </w:rPr>
      </w:pPr>
    </w:p>
    <w:p>
      <w:pPr>
        <w:ind w:left="640" w:right="260" w:firstLine="652"/>
        <w:spacing w:after="0"/>
        <w:tabs>
          <w:tab w:leader="none" w:pos="1936" w:val="left"/>
        </w:tabs>
        <w:numPr>
          <w:ilvl w:val="1"/>
          <w:numId w:val="159"/>
        </w:numPr>
        <w:rPr>
          <w:rFonts w:ascii="Arial" w:cs="Arial" w:eastAsia="Arial" w:hAnsi="Arial"/>
          <w:sz w:val="18"/>
          <w:szCs w:val="18"/>
          <w:color w:val="202124"/>
        </w:rPr>
      </w:pPr>
      <w:r>
        <w:rPr>
          <w:rFonts w:ascii="Arial" w:cs="Arial" w:eastAsia="Arial" w:hAnsi="Arial"/>
          <w:sz w:val="18"/>
          <w:szCs w:val="18"/>
          <w:color w:val="202124"/>
        </w:rPr>
        <w:t>Payment of any sums required by federal, state or local tax law shall be withheld with respect to the issuance, vesting, exercise or payment of any Restricted Shares, Restricted Share Options, Unvested Shares or Unvested Share Options within the time limit as required by law for such payment. A Participant may elect to pay withholding taxes due upon the vesting of the Unvested Shares by having the Company withhold Unvested Shares that have vested and are issuable to such Participant as Stock (without restriction or risk of forfeiture).</w:t>
      </w:r>
    </w:p>
    <w:p>
      <w:pPr>
        <w:spacing w:after="0" w:line="139" w:lineRule="exact"/>
        <w:rPr>
          <w:rFonts w:ascii="Arial" w:cs="Arial" w:eastAsia="Arial" w:hAnsi="Arial"/>
          <w:sz w:val="18"/>
          <w:szCs w:val="18"/>
          <w:color w:val="202124"/>
        </w:rPr>
      </w:pPr>
    </w:p>
    <w:p>
      <w:pPr>
        <w:ind w:left="640" w:right="60" w:firstLine="652"/>
        <w:spacing w:after="0"/>
        <w:tabs>
          <w:tab w:leader="none" w:pos="1936" w:val="left"/>
        </w:tabs>
        <w:numPr>
          <w:ilvl w:val="1"/>
          <w:numId w:val="159"/>
        </w:numPr>
        <w:rPr>
          <w:rFonts w:ascii="Arial" w:cs="Arial" w:eastAsia="Arial" w:hAnsi="Arial"/>
          <w:sz w:val="18"/>
          <w:szCs w:val="18"/>
          <w:color w:val="202124"/>
        </w:rPr>
      </w:pPr>
      <w:r>
        <w:rPr>
          <w:rFonts w:ascii="Arial" w:cs="Arial" w:eastAsia="Arial" w:hAnsi="Arial"/>
          <w:sz w:val="18"/>
          <w:szCs w:val="18"/>
          <w:color w:val="202124"/>
        </w:rPr>
        <w:t>Notwithstanding any other provision of the Plan, the number of shares that may be withheld in order to satisfy the Participant’s federal and state income and payroll tax liabilities with respect to the vesting, exercise or payment of the Unvested Shares shall be limited to the number of shares that have a Fair Market Value on the date of withholding equal to the aggregate amount of such tax liabilities based on the withholding rates for federal and state tax income and payroll tax purposes that are applicable to such supplemental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02124"/>
              </w:rPr>
              <w:t>2026 Proxy Statement</w:t>
            </w:r>
          </w:p>
        </w:tc>
        <w:tc>
          <w:tcPr>
            <w:tcW w:w="4100" w:type="dxa"/>
            <w:vAlign w:val="bottom"/>
          </w:tcPr>
          <w:p>
            <w:pPr>
              <w:ind w:left="3820"/>
              <w:spacing w:after="0"/>
              <w:rPr>
                <w:sz w:val="20"/>
                <w:szCs w:val="20"/>
                <w:color w:val="auto"/>
              </w:rPr>
            </w:pPr>
            <w:r>
              <w:rPr>
                <w:rFonts w:ascii="Arial" w:cs="Arial" w:eastAsia="Arial" w:hAnsi="Arial"/>
                <w:sz w:val="18"/>
                <w:szCs w:val="18"/>
                <w:color w:val="202124"/>
                <w:w w:val="92"/>
              </w:rPr>
              <w:t>B-7</w:t>
            </w:r>
          </w:p>
        </w:tc>
      </w:tr>
    </w:tbl>
    <w:p>
      <w:pPr>
        <w:sectPr>
          <w:pgSz w:w="11900" w:h="16838" w:orient="portrait"/>
          <w:cols w:equalWidth="0" w:num="1">
            <w:col w:w="10360"/>
          </w:cols>
          <w:pgMar w:left="440" w:top="106" w:right="1099" w:bottom="1440"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158750</wp:posOffset>
            </wp:positionH>
            <wp:positionV relativeFrom="page">
              <wp:posOffset>88900</wp:posOffset>
            </wp:positionV>
            <wp:extent cx="723265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158750</wp:posOffset>
            </wp:positionH>
            <wp:positionV relativeFrom="page">
              <wp:posOffset>88900</wp:posOffset>
            </wp:positionV>
            <wp:extent cx="7232650" cy="1018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32650" cy="1018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1."/>
      <w:numFmt w:val="decimal"/>
      <w:start w:val="1"/>
    </w:lvl>
  </w:abstractNum>
  <w:abstractNum w:abstractNumId="4">
    <w:nsid w:val="14330624"/>
    <w:multiLevelType w:val="hybridMultilevel"/>
    <w:lvl w:ilvl="0">
      <w:lvlJc w:val="left"/>
      <w:lvlText w:val="%1."/>
      <w:numFmt w:val="decimal"/>
      <w:start w:val="2"/>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1)"/>
      <w:numFmt w:val="lowerRoman"/>
      <w:start w:val="2"/>
    </w:lvl>
  </w:abstractNum>
  <w:abstractNum w:abstractNumId="21">
    <w:nsid w:val="2DF6D648"/>
    <w:multiLevelType w:val="hybridMultilevel"/>
    <w:lvl w:ilvl="0">
      <w:lvlJc w:val="left"/>
      <w:lvlText w:val="(%1)"/>
      <w:numFmt w:val="decimal"/>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lvl w:ilvl="1">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o"/>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lvl w:ilvl="1">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lvl w:ilvl="1">
      <w:lvlJc w:val="left"/>
      <w:lvlText w:val="●"/>
      <w:numFmt w:val="bullet"/>
      <w:start w:val="1"/>
    </w:lvl>
  </w:abstractNum>
  <w:abstractNum w:abstractNumId="79">
    <w:nsid w:val="6AA7B75C"/>
    <w:multiLevelType w:val="hybridMultilevel"/>
    <w:lvl w:ilvl="0">
      <w:lvlJc w:val="left"/>
      <w:lvlText w:val="●"/>
      <w:numFmt w:val="bullet"/>
      <w:start w:val="1"/>
    </w:lvl>
  </w:abstractNum>
  <w:abstractNum w:abstractNumId="80">
    <w:nsid w:val="1DF029D3"/>
    <w:multiLevelType w:val="hybridMultilevel"/>
    <w:lvl w:ilvl="0">
      <w:lvlJc w:val="left"/>
      <w:lvlText w:val="(%1)"/>
      <w:numFmt w:val="decimal"/>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1)"/>
      <w:numFmt w:val="decimal"/>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1)"/>
      <w:numFmt w:val="decimal"/>
      <w:start w:val="1"/>
    </w:lvl>
  </w:abstractNum>
  <w:abstractNum w:abstractNumId="90">
    <w:nsid w:val="5915FF32"/>
    <w:multiLevelType w:val="hybridMultilevel"/>
    <w:lvl w:ilvl="0">
      <w:lvlJc w:val="left"/>
      <w:lvlText w:val="%1"/>
      <w:numFmt w:val="decimal"/>
      <w:start w:val="1"/>
    </w:lvl>
    <w:lvl w:ilvl="1">
      <w:lvlJc w:val="left"/>
      <w:lvlText w:val="(%2)"/>
      <w:numFmt w:val="upperLetter"/>
      <w:start w:val="1"/>
    </w:lvl>
  </w:abstractNum>
  <w:abstractNum w:abstractNumId="91">
    <w:nsid w:val="56438D15"/>
    <w:multiLevelType w:val="hybridMultilevel"/>
    <w:lvl w:ilvl="0">
      <w:lvlJc w:val="left"/>
      <w:lvlText w:val="(%1)"/>
      <w:numFmt w:val="decimal"/>
      <w:start w:val="6"/>
    </w:lvl>
    <w:lvl w:ilvl="1">
      <w:lvlJc w:val="left"/>
      <w:lvlText w:val="%2"/>
      <w:numFmt w:val="upperLetter"/>
      <w:start w:val="1"/>
    </w:lvl>
  </w:abstractNum>
  <w:abstractNum w:abstractNumId="92">
    <w:nsid w:val="519E3149"/>
    <w:multiLevelType w:val="hybridMultilevel"/>
    <w:lvl w:ilvl="0">
      <w:lvlJc w:val="left"/>
      <w:lvlText w:val="(%1)"/>
      <w:numFmt w:val="decimal"/>
      <w:start w:val="1"/>
    </w:lvl>
  </w:abstractNum>
  <w:abstractNum w:abstractNumId="93">
    <w:nsid w:val="2C6E4AFD"/>
    <w:multiLevelType w:val="hybridMultilevel"/>
    <w:lvl w:ilvl="0">
      <w:lvlJc w:val="left"/>
      <w:lvlText w:val="(%1)"/>
      <w:numFmt w:val="decimal"/>
      <w:start w:val="1"/>
    </w:lvl>
  </w:abstractNum>
  <w:abstractNum w:abstractNumId="94">
    <w:nsid w:val="17A1B582"/>
    <w:multiLevelType w:val="hybridMultilevel"/>
    <w:lvl w:ilvl="0">
      <w:lvlJc w:val="left"/>
      <w:lvlText w:val="(%1)"/>
      <w:numFmt w:val="decimal"/>
      <w:start w:val="1"/>
    </w:lvl>
  </w:abstractNum>
  <w:abstractNum w:abstractNumId="95">
    <w:nsid w:val="4DF72E4E"/>
    <w:multiLevelType w:val="hybridMultilevel"/>
    <w:lvl w:ilvl="0">
      <w:lvlJc w:val="left"/>
      <w:lvlText w:val="(%1)"/>
      <w:numFmt w:val="decimal"/>
      <w:start w:val="1"/>
    </w:lvl>
  </w:abstractNum>
  <w:abstractNum w:abstractNumId="96">
    <w:nsid w:val="5046B5A9"/>
    <w:multiLevelType w:val="hybridMultilevel"/>
    <w:lvl w:ilvl="0">
      <w:lvlJc w:val="left"/>
      <w:lvlText w:val="(%1)"/>
      <w:numFmt w:val="decimal"/>
      <w:start w:val="1"/>
    </w:lvl>
  </w:abstractNum>
  <w:abstractNum w:abstractNumId="97">
    <w:nsid w:val="5D888A08"/>
    <w:multiLevelType w:val="hybridMultilevel"/>
    <w:lvl w:ilvl="0">
      <w:lvlJc w:val="left"/>
      <w:lvlText w:val="(%1)"/>
      <w:numFmt w:val="decimal"/>
      <w:start w:val="3"/>
    </w:lvl>
  </w:abstractNum>
  <w:abstractNum w:abstractNumId="98">
    <w:nsid w:val="2A082C70"/>
    <w:multiLevelType w:val="hybridMultilevel"/>
    <w:lvl w:ilvl="0">
      <w:lvlJc w:val="left"/>
      <w:lvlText w:val="(%1)"/>
      <w:numFmt w:val="decimal"/>
      <w:start w:val="1"/>
    </w:lvl>
  </w:abstractNum>
  <w:abstractNum w:abstractNumId="99">
    <w:nsid w:val="5EC6AFD4"/>
    <w:multiLevelType w:val="hybridMultilevel"/>
    <w:lvl w:ilvl="0">
      <w:lvlJc w:val="left"/>
      <w:lvlText w:val="(%1)"/>
      <w:numFmt w:val="decimal"/>
      <w:start w:val="2"/>
    </w:lvl>
  </w:abstractNum>
  <w:abstractNum w:abstractNumId="100">
    <w:nsid w:val="19E21BB2"/>
    <w:multiLevelType w:val="hybridMultilevel"/>
    <w:lvl w:ilvl="0">
      <w:lvlJc w:val="left"/>
      <w:lvlText w:val="(%1)"/>
      <w:numFmt w:val="decimal"/>
      <w:start w:val="5"/>
    </w:lvl>
  </w:abstractNum>
  <w:abstractNum w:abstractNumId="101">
    <w:nsid w:val="75E0858A"/>
    <w:multiLevelType w:val="hybridMultilevel"/>
    <w:lvl w:ilvl="0">
      <w:lvlJc w:val="left"/>
      <w:lvlText w:val="(%1)"/>
      <w:numFmt w:val="decimal"/>
      <w:start w:val="3"/>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1)"/>
      <w:numFmt w:val="decimal"/>
      <w:start w:val="1"/>
    </w:lvl>
  </w:abstractNum>
  <w:abstractNum w:abstractNumId="104">
    <w:nsid w:val="20EE1348"/>
    <w:multiLevelType w:val="hybridMultilevel"/>
    <w:lvl w:ilvl="0">
      <w:lvlJc w:val="left"/>
      <w:lvlText w:val="(%1)"/>
      <w:numFmt w:val="decimal"/>
      <w:start w:val="1"/>
    </w:lvl>
    <w:lvl w:ilvl="1">
      <w:lvlJc w:val="left"/>
      <w:lvlText w:val="(%2)"/>
      <w:numFmt w:val="lowerLetter"/>
      <w:start w:val="1"/>
    </w:lvl>
  </w:abstractNum>
  <w:abstractNum w:abstractNumId="105">
    <w:nsid w:val="4427069A"/>
    <w:multiLevelType w:val="hybridMultilevel"/>
    <w:lvl w:ilvl="0">
      <w:lvlJc w:val="left"/>
      <w:lvlText w:val="(%1)"/>
      <w:numFmt w:val="decimal"/>
      <w:start w:val="1"/>
    </w:lvl>
  </w:abstractNum>
  <w:abstractNum w:abstractNumId="106">
    <w:nsid w:val="B37E80A"/>
    <w:multiLevelType w:val="hybridMultilevel"/>
    <w:lvl w:ilvl="0">
      <w:lvlJc w:val="left"/>
      <w:lvlText w:val="%1"/>
      <w:numFmt w:val="decimal"/>
      <w:start w:val="1"/>
    </w:lvl>
    <w:lvl w:ilvl="1">
      <w:lvlJc w:val="left"/>
      <w:lvlText w:val="(%2)"/>
      <w:numFmt w:val="decimal"/>
      <w:start w:val="1"/>
    </w:lvl>
  </w:abstractNum>
  <w:abstractNum w:abstractNumId="107">
    <w:nsid w:val="2157F6BC"/>
    <w:multiLevelType w:val="hybridMultilevel"/>
    <w:lvl w:ilvl="0">
      <w:lvlJc w:val="left"/>
      <w:lvlText w:val="%1."/>
      <w:numFmt w:val="decimal"/>
      <w:start w:val="1"/>
    </w:lvl>
    <w:lvl w:ilvl="1">
      <w:lvlJc w:val="left"/>
      <w:lvlText w:val="%2"/>
      <w:numFmt w:val="decimal"/>
      <w:start w:val="1"/>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decimal"/>
      <w:start w:val="1"/>
    </w:lvl>
    <w:lvl w:ilvl="1">
      <w:lvlJc w:val="left"/>
      <w:lvlText w:val="(%2)"/>
      <w:numFmt w:val="lowerLetter"/>
      <w:start w:val="6"/>
    </w:lvl>
  </w:abstractNum>
  <w:abstractNum w:abstractNumId="110">
    <w:nsid w:val="BFFAE18"/>
    <w:multiLevelType w:val="hybridMultilevel"/>
    <w:lvl w:ilvl="0">
      <w:lvlJc w:val="left"/>
      <w:lvlText w:val="%1."/>
      <w:numFmt w:val="decimal"/>
      <w:start w:val="2"/>
    </w:lvl>
    <w:lvl w:ilvl="1">
      <w:lvlJc w:val="left"/>
      <w:lvlText w:val="%2"/>
      <w:numFmt w:val="lowerLetter"/>
      <w:start w:val="1"/>
    </w:lvl>
  </w:abstractNum>
  <w:abstractNum w:abstractNumId="111">
    <w:nsid w:val="E3E47A8"/>
    <w:multiLevelType w:val="hybridMultilevel"/>
    <w:lvl w:ilvl="0">
      <w:lvlJc w:val="left"/>
      <w:lvlText w:val="%1."/>
      <w:numFmt w:val="decimal"/>
      <w:start w:val="3"/>
    </w:lvl>
    <w:lvl w:ilvl="1">
      <w:lvlJc w:val="left"/>
      <w:lvlText w:val="(%2)"/>
      <w:numFmt w:val="lowerLetter"/>
      <w:start w:val="1"/>
    </w:lvl>
  </w:abstractNum>
  <w:abstractNum w:abstractNumId="112">
    <w:nsid w:val="2E48F044"/>
    <w:multiLevelType w:val="hybridMultilevel"/>
    <w:lvl w:ilvl="0">
      <w:lvlJc w:val="left"/>
      <w:lvlText w:val="%1"/>
      <w:numFmt w:val="decimal"/>
      <w:start w:val="1"/>
    </w:lvl>
    <w:lvl w:ilvl="1">
      <w:lvlJc w:val="left"/>
      <w:lvlText w:val="(%2)"/>
      <w:numFmt w:val="lowerLetter"/>
      <w:start w:val="3"/>
    </w:lvl>
  </w:abstractNum>
  <w:abstractNum w:abstractNumId="113">
    <w:nsid w:val="49D0FEAC"/>
    <w:multiLevelType w:val="hybridMultilevel"/>
    <w:lvl w:ilvl="0">
      <w:lvlJc w:val="left"/>
      <w:lvlText w:val="%1."/>
      <w:numFmt w:val="decimal"/>
      <w:start w:val="5"/>
    </w:lvl>
    <w:lvl w:ilvl="1">
      <w:lvlJc w:val="left"/>
      <w:lvlText w:val="(%2)"/>
      <w:numFmt w:val="lowerLetter"/>
      <w:start w:val="1"/>
    </w:lvl>
  </w:abstractNum>
  <w:abstractNum w:abstractNumId="114">
    <w:nsid w:val="4BEE5A5B"/>
    <w:multiLevelType w:val="hybridMultilevel"/>
    <w:lvl w:ilvl="0">
      <w:lvlJc w:val="left"/>
      <w:lvlText w:val="%1."/>
      <w:numFmt w:val="decimal"/>
      <w:start w:val="7"/>
    </w:lvl>
  </w:abstractNum>
  <w:abstractNum w:abstractNumId="115">
    <w:nsid w:val="5551B9F3"/>
    <w:multiLevelType w:val="hybridMultilevel"/>
    <w:lvl w:ilvl="0">
      <w:lvlJc w:val="left"/>
      <w:lvlText w:val="%1."/>
      <w:numFmt w:val="decimal"/>
      <w:start w:val="8"/>
    </w:lvl>
  </w:abstractNum>
  <w:abstractNum w:abstractNumId="116">
    <w:nsid w:val="24F6AB8E"/>
    <w:multiLevelType w:val="hybridMultilevel"/>
    <w:lvl w:ilvl="0">
      <w:lvlJc w:val="left"/>
      <w:lvlText w:val="%1."/>
      <w:numFmt w:val="decimal"/>
      <w:start w:val="9"/>
    </w:lvl>
  </w:abstractNum>
  <w:abstractNum w:abstractNumId="117">
    <w:nsid w:val="634C574C"/>
    <w:multiLevelType w:val="hybridMultilevel"/>
    <w:lvl w:ilvl="0">
      <w:lvlJc w:val="left"/>
      <w:lvlText w:val="%1."/>
      <w:numFmt w:val="decimal"/>
      <w:start w:val="10"/>
    </w:lvl>
  </w:abstractNum>
  <w:abstractNum w:abstractNumId="118">
    <w:nsid w:val="24E99DD7"/>
    <w:multiLevelType w:val="hybridMultilevel"/>
    <w:lvl w:ilvl="0">
      <w:lvlJc w:val="left"/>
      <w:lvlText w:val="%1."/>
      <w:numFmt w:val="decimal"/>
      <w:start w:val="11"/>
    </w:lvl>
  </w:abstractNum>
  <w:abstractNum w:abstractNumId="119">
    <w:nsid w:val="2A31B62D"/>
    <w:multiLevelType w:val="hybridMultilevel"/>
    <w:lvl w:ilvl="0">
      <w:lvlJc w:val="left"/>
      <w:lvlText w:val="%1."/>
      <w:numFmt w:val="decimal"/>
      <w:start w:val="12"/>
    </w:lvl>
    <w:lvl w:ilvl="1">
      <w:lvlJc w:val="left"/>
      <w:lvlText w:val="(%2)"/>
      <w:numFmt w:val="lowerLetter"/>
      <w:start w:val="1"/>
    </w:lvl>
  </w:abstractNum>
  <w:abstractNum w:abstractNumId="120">
    <w:nsid w:val="1849C29B"/>
    <w:multiLevelType w:val="hybridMultilevel"/>
    <w:lvl w:ilvl="0">
      <w:lvlJc w:val="left"/>
      <w:lvlText w:val="%1"/>
      <w:numFmt w:val="decimal"/>
      <w:start w:val="1"/>
    </w:lvl>
    <w:lvl w:ilvl="1">
      <w:lvlJc w:val="left"/>
      <w:lvlText w:val="(%2)"/>
      <w:numFmt w:val="lowerLetter"/>
      <w:start w:val="4"/>
    </w:lvl>
  </w:abstractNum>
  <w:abstractNum w:abstractNumId="121">
    <w:nsid w:val="7DFF9D09"/>
    <w:multiLevelType w:val="hybridMultilevel"/>
    <w:lvl w:ilvl="0">
      <w:lvlJc w:val="left"/>
      <w:lvlText w:val="%1."/>
      <w:numFmt w:val="decimal"/>
      <w:start w:val="13"/>
    </w:lvl>
    <w:lvl w:ilvl="1">
      <w:lvlJc w:val="left"/>
      <w:lvlText w:val="%2"/>
      <w:numFmt w:val="lowerLetter"/>
      <w:start w:val="1"/>
    </w:lvl>
  </w:abstractNum>
  <w:abstractNum w:abstractNumId="122">
    <w:nsid w:val="754342"/>
    <w:multiLevelType w:val="hybridMultilevel"/>
    <w:lvl w:ilvl="0">
      <w:lvlJc w:val="left"/>
      <w:lvlText w:val="%1."/>
      <w:numFmt w:val="decimal"/>
      <w:start w:val="14"/>
    </w:lvl>
  </w:abstractNum>
  <w:abstractNum w:abstractNumId="123">
    <w:nsid w:val="69E7F3E5"/>
    <w:multiLevelType w:val="hybridMultilevel"/>
    <w:lvl w:ilvl="0">
      <w:lvlJc w:val="left"/>
      <w:lvlText w:val="%1."/>
      <w:numFmt w:val="decimal"/>
      <w:start w:val="15"/>
    </w:lvl>
  </w:abstractNum>
  <w:abstractNum w:abstractNumId="124">
    <w:nsid w:val="2A6DE806"/>
    <w:multiLevelType w:val="hybridMultilevel"/>
    <w:lvl w:ilvl="0">
      <w:lvlJc w:val="left"/>
      <w:lvlText w:val="%1."/>
      <w:numFmt w:val="decimal"/>
      <w:start w:val="16"/>
    </w:lvl>
  </w:abstractNum>
  <w:abstractNum w:abstractNumId="125">
    <w:nsid w:val="1816F8C4"/>
    <w:multiLevelType w:val="hybridMultilevel"/>
    <w:lvl w:ilvl="0">
      <w:lvlJc w:val="left"/>
      <w:lvlText w:val="%1."/>
      <w:numFmt w:val="decimal"/>
      <w:start w:val="17"/>
    </w:lvl>
  </w:abstractNum>
  <w:abstractNum w:abstractNumId="126">
    <w:nsid w:val="37DF2233"/>
    <w:multiLevelType w:val="hybridMultilevel"/>
    <w:lvl w:ilvl="0">
      <w:lvlJc w:val="left"/>
      <w:lvlText w:val="%1."/>
      <w:numFmt w:val="decimal"/>
      <w:start w:val="18"/>
    </w:lvl>
  </w:abstractNum>
  <w:abstractNum w:abstractNumId="127">
    <w:nsid w:val="7AB49DAF"/>
    <w:multiLevelType w:val="hybridMultilevel"/>
    <w:lvl w:ilvl="0">
      <w:lvlJc w:val="left"/>
      <w:lvlText w:val="%1."/>
      <w:numFmt w:val="decimal"/>
      <w:start w:val="19"/>
    </w:lvl>
  </w:abstractNum>
  <w:abstractNum w:abstractNumId="128">
    <w:nsid w:val="759F82CD"/>
    <w:multiLevelType w:val="hybridMultilevel"/>
    <w:lvl w:ilvl="0">
      <w:lvlJc w:val="left"/>
      <w:lvlText w:val="%1"/>
      <w:numFmt w:val="decimal"/>
      <w:start w:val="1"/>
    </w:lvl>
    <w:lvl w:ilvl="1">
      <w:lvlJc w:val="left"/>
      <w:lvlText w:val="(%2)"/>
      <w:numFmt w:val="decimal"/>
      <w:start w:val="1"/>
    </w:lvl>
  </w:abstractNum>
  <w:abstractNum w:abstractNumId="129">
    <w:nsid w:val="61E74EA3"/>
    <w:multiLevelType w:val="hybridMultilevel"/>
    <w:lvl w:ilvl="0">
      <w:lvlJc w:val="left"/>
      <w:lvlText w:val="%1."/>
      <w:numFmt w:val="decimal"/>
      <w:start w:val="1"/>
    </w:lvl>
    <w:lvl w:ilvl="1">
      <w:lvlJc w:val="left"/>
      <w:lvlText w:val="%2"/>
      <w:numFmt w:val="decimal"/>
      <w:start w:val="1"/>
    </w:lvl>
  </w:abstractNum>
  <w:abstractNum w:abstractNumId="130">
    <w:nsid w:val="597B4D84"/>
    <w:multiLevelType w:val="hybridMultilevel"/>
    <w:lvl w:ilvl="0">
      <w:lvlJc w:val="left"/>
      <w:lvlText w:val="(%1)"/>
      <w:numFmt w:val="lowerLetter"/>
      <w:start w:val="1"/>
    </w:lvl>
  </w:abstractNum>
  <w:abstractNum w:abstractNumId="131">
    <w:nsid w:val="F819E7F"/>
    <w:multiLevelType w:val="hybridMultilevel"/>
    <w:lvl w:ilvl="0">
      <w:lvlJc w:val="left"/>
      <w:lvlText w:val="(%1)"/>
      <w:numFmt w:val="lowerLetter"/>
      <w:start w:val="8"/>
    </w:lvl>
  </w:abstractNum>
  <w:abstractNum w:abstractNumId="132">
    <w:nsid w:val="57C7D42D"/>
    <w:multiLevelType w:val="hybridMultilevel"/>
    <w:lvl w:ilvl="0">
      <w:lvlJc w:val="left"/>
      <w:lvlText w:val="(%1)"/>
      <w:numFmt w:val="lowerLetter"/>
      <w:start w:val="26"/>
    </w:lvl>
  </w:abstractNum>
  <w:abstractNum w:abstractNumId="133">
    <w:nsid w:val="312167AD"/>
    <w:multiLevelType w:val="hybridMultilevel"/>
    <w:lvl w:ilvl="0">
      <w:lvlJc w:val="left"/>
      <w:lvlText w:val="%1"/>
      <w:numFmt w:val="decimal"/>
      <w:start w:val="1"/>
    </w:lvl>
    <w:lvl w:ilvl="1">
      <w:lvlJc w:val="left"/>
      <w:lvlText w:val="(%2)"/>
      <w:numFmt w:val="lowerLetter"/>
      <w:start w:val="27"/>
    </w:lvl>
  </w:abstractNum>
  <w:abstractNum w:abstractNumId="134">
    <w:nsid w:val="631B64D4"/>
    <w:multiLevelType w:val="hybridMultilevel"/>
    <w:lvl w:ilvl="0">
      <w:lvlJc w:val="left"/>
      <w:lvlText w:val="%1."/>
      <w:numFmt w:val="decimal"/>
      <w:start w:val="2"/>
    </w:lvl>
    <w:lvl w:ilvl="1">
      <w:lvlJc w:val="left"/>
      <w:lvlText w:val="%2"/>
      <w:numFmt w:val="lowerLetter"/>
      <w:start w:val="1"/>
    </w:lvl>
  </w:abstractNum>
  <w:abstractNum w:abstractNumId="135">
    <w:nsid w:val="78B5E776"/>
    <w:multiLevelType w:val="hybridMultilevel"/>
    <w:lvl w:ilvl="0">
      <w:lvlJc w:val="left"/>
      <w:lvlText w:val="%1."/>
      <w:numFmt w:val="decimal"/>
      <w:start w:val="3"/>
    </w:lvl>
    <w:lvl w:ilvl="1">
      <w:lvlJc w:val="left"/>
      <w:lvlText w:val="(%2)"/>
      <w:numFmt w:val="lowerLetter"/>
      <w:start w:val="1"/>
    </w:lvl>
  </w:abstractNum>
  <w:abstractNum w:abstractNumId="136">
    <w:nsid w:val="75486E47"/>
    <w:multiLevelType w:val="hybridMultilevel"/>
    <w:lvl w:ilvl="0">
      <w:lvlJc w:val="left"/>
      <w:lvlText w:val="%1."/>
      <w:numFmt w:val="decimal"/>
      <w:start w:val="4"/>
    </w:lvl>
    <w:lvl w:ilvl="1">
      <w:lvlJc w:val="left"/>
      <w:lvlText w:val="(%2)"/>
      <w:numFmt w:val="lowerLetter"/>
      <w:start w:val="1"/>
    </w:lvl>
  </w:abstractNum>
  <w:abstractNum w:abstractNumId="137">
    <w:nsid w:val="6E534CDE"/>
    <w:multiLevelType w:val="hybridMultilevel"/>
    <w:lvl w:ilvl="0">
      <w:lvlJc w:val="left"/>
      <w:lvlText w:val="(%1)"/>
      <w:numFmt w:val="lowerRoman"/>
      <w:start w:val="1"/>
    </w:lvl>
  </w:abstractNum>
  <w:abstractNum w:abstractNumId="138">
    <w:nsid w:val="1A0DDE32"/>
    <w:multiLevelType w:val="hybridMultilevel"/>
    <w:lvl w:ilvl="0">
      <w:lvlJc w:val="left"/>
      <w:lvlText w:val="(%1)"/>
      <w:numFmt w:val="lowerLetter"/>
      <w:start w:val="3"/>
    </w:lvl>
  </w:abstractNum>
  <w:abstractNum w:abstractNumId="139">
    <w:nsid w:val="65968C1C"/>
    <w:multiLevelType w:val="hybridMultilevel"/>
    <w:lvl w:ilvl="0">
      <w:lvlJc w:val="left"/>
      <w:lvlText w:val="%1"/>
      <w:numFmt w:val="decimal"/>
      <w:start w:val="1"/>
    </w:lvl>
    <w:lvl w:ilvl="1">
      <w:lvlJc w:val="left"/>
      <w:lvlText w:val="(%2)"/>
      <w:numFmt w:val="lowerRoman"/>
      <w:start w:val="1"/>
    </w:lvl>
  </w:abstractNum>
  <w:abstractNum w:abstractNumId="140">
    <w:nsid w:val="46263DEC"/>
    <w:multiLevelType w:val="hybridMultilevel"/>
    <w:lvl w:ilvl="0">
      <w:lvlJc w:val="left"/>
      <w:lvlText w:val="%1."/>
      <w:numFmt w:val="decimal"/>
      <w:start w:val="5"/>
    </w:lvl>
    <w:lvl w:ilvl="1">
      <w:lvlJc w:val="left"/>
      <w:lvlText w:val="%2"/>
      <w:numFmt w:val="lowerRoman"/>
      <w:start w:val="1"/>
    </w:lvl>
  </w:abstractNum>
  <w:abstractNum w:abstractNumId="141">
    <w:nsid w:val="260D8C4A"/>
    <w:multiLevelType w:val="hybridMultilevel"/>
    <w:lvl w:ilvl="0">
      <w:lvlJc w:val="left"/>
      <w:lvlText w:val="(%1)"/>
      <w:numFmt w:val="lowerLetter"/>
      <w:start w:val="1"/>
    </w:lvl>
  </w:abstractNum>
  <w:abstractNum w:abstractNumId="142">
    <w:nsid w:val="73D4D3C4"/>
    <w:multiLevelType w:val="hybridMultilevel"/>
    <w:lvl w:ilvl="0">
      <w:lvlJc w:val="left"/>
      <w:lvlText w:val="%1"/>
      <w:numFmt w:val="decimal"/>
      <w:start w:val="1"/>
    </w:lvl>
    <w:lvl w:ilvl="1">
      <w:lvlJc w:val="left"/>
      <w:lvlText w:val="(%2)"/>
      <w:numFmt w:val="lowerLetter"/>
      <w:start w:val="3"/>
    </w:lvl>
  </w:abstractNum>
  <w:abstractNum w:abstractNumId="143">
    <w:nsid w:val="746F2E30"/>
    <w:multiLevelType w:val="hybridMultilevel"/>
    <w:lvl w:ilvl="0">
      <w:lvlJc w:val="left"/>
      <w:lvlText w:val="%1."/>
      <w:numFmt w:val="decimal"/>
      <w:start w:val="6"/>
    </w:lvl>
    <w:lvl w:ilvl="1">
      <w:lvlJc w:val="left"/>
      <w:lvlText w:val="%2"/>
      <w:numFmt w:val="lowerLetter"/>
      <w:start w:val="1"/>
    </w:lvl>
  </w:abstractNum>
  <w:abstractNum w:abstractNumId="144">
    <w:nsid w:val="6FDE8AF6"/>
    <w:multiLevelType w:val="hybridMultilevel"/>
    <w:lvl w:ilvl="0">
      <w:lvlJc w:val="left"/>
      <w:lvlText w:val="%1."/>
      <w:numFmt w:val="decimal"/>
      <w:start w:val="7"/>
    </w:lvl>
  </w:abstractNum>
  <w:abstractNum w:abstractNumId="145">
    <w:nsid w:val="3FC32E20"/>
    <w:multiLevelType w:val="hybridMultilevel"/>
    <w:lvl w:ilvl="0">
      <w:lvlJc w:val="left"/>
      <w:lvlText w:val="%1."/>
      <w:numFmt w:val="decimal"/>
      <w:start w:val="8"/>
    </w:lvl>
  </w:abstractNum>
  <w:abstractNum w:abstractNumId="146">
    <w:nsid w:val="49C0E823"/>
    <w:multiLevelType w:val="hybridMultilevel"/>
    <w:lvl w:ilvl="0">
      <w:lvlJc w:val="left"/>
      <w:lvlText w:val="%1."/>
      <w:numFmt w:val="decimal"/>
      <w:start w:val="9"/>
    </w:lvl>
  </w:abstractNum>
  <w:abstractNum w:abstractNumId="147">
    <w:nsid w:val="14D53685"/>
    <w:multiLevelType w:val="hybridMultilevel"/>
    <w:lvl w:ilvl="0">
      <w:lvlJc w:val="left"/>
      <w:lvlText w:val="%1."/>
      <w:numFmt w:val="decimal"/>
      <w:start w:val="10"/>
    </w:lvl>
  </w:abstractNum>
  <w:abstractNum w:abstractNumId="148">
    <w:nsid w:val="230F856C"/>
    <w:multiLevelType w:val="hybridMultilevel"/>
    <w:lvl w:ilvl="0">
      <w:lvlJc w:val="left"/>
      <w:lvlText w:val="%1."/>
      <w:numFmt w:val="decimal"/>
      <w:start w:val="11"/>
    </w:lvl>
  </w:abstractNum>
  <w:abstractNum w:abstractNumId="149">
    <w:nsid w:val="6EAA85FB"/>
    <w:multiLevelType w:val="hybridMultilevel"/>
    <w:lvl w:ilvl="0">
      <w:lvlJc w:val="left"/>
      <w:lvlText w:val="%1."/>
      <w:numFmt w:val="decimal"/>
      <w:start w:val="12"/>
    </w:lvl>
    <w:lvl w:ilvl="1">
      <w:lvlJc w:val="left"/>
      <w:lvlText w:val="(%2)"/>
      <w:numFmt w:val="lowerLetter"/>
      <w:start w:val="1"/>
    </w:lvl>
  </w:abstractNum>
  <w:abstractNum w:abstractNumId="150">
    <w:nsid w:val="3F06ECB2"/>
    <w:multiLevelType w:val="hybridMultilevel"/>
    <w:lvl w:ilvl="0">
      <w:lvlJc w:val="left"/>
      <w:lvlText w:val="%1"/>
      <w:numFmt w:val="decimal"/>
      <w:start w:val="1"/>
    </w:lvl>
    <w:lvl w:ilvl="1">
      <w:lvlJc w:val="left"/>
      <w:lvlText w:val="(%2)"/>
      <w:numFmt w:val="lowerLetter"/>
      <w:start w:val="2"/>
    </w:lvl>
  </w:abstractNum>
  <w:abstractNum w:abstractNumId="151">
    <w:nsid w:val="3B594807"/>
    <w:multiLevelType w:val="hybridMultilevel"/>
    <w:lvl w:ilvl="0">
      <w:lvlJc w:val="left"/>
      <w:lvlText w:val="%1."/>
      <w:numFmt w:val="decimal"/>
      <w:start w:val="13"/>
    </w:lvl>
    <w:lvl w:ilvl="1">
      <w:lvlJc w:val="left"/>
      <w:lvlText w:val="%2"/>
      <w:numFmt w:val="lowerLetter"/>
      <w:start w:val="1"/>
    </w:lvl>
  </w:abstractNum>
  <w:abstractNum w:abstractNumId="152">
    <w:nsid w:val="6CAA2304"/>
    <w:multiLevelType w:val="hybridMultilevel"/>
    <w:lvl w:ilvl="0">
      <w:lvlJc w:val="left"/>
      <w:lvlText w:val="%1."/>
      <w:numFmt w:val="decimal"/>
      <w:start w:val="14"/>
    </w:lvl>
  </w:abstractNum>
  <w:abstractNum w:abstractNumId="153">
    <w:nsid w:val="3F7C2FF4"/>
    <w:multiLevelType w:val="hybridMultilevel"/>
    <w:lvl w:ilvl="0">
      <w:lvlJc w:val="left"/>
      <w:lvlText w:val="%1."/>
      <w:numFmt w:val="decimal"/>
      <w:start w:val="15"/>
    </w:lvl>
  </w:abstractNum>
  <w:abstractNum w:abstractNumId="154">
    <w:nsid w:val="25413BEC"/>
    <w:multiLevelType w:val="hybridMultilevel"/>
    <w:lvl w:ilvl="0">
      <w:lvlJc w:val="left"/>
      <w:lvlText w:val="%1."/>
      <w:numFmt w:val="decimal"/>
      <w:start w:val="16"/>
    </w:lvl>
  </w:abstractNum>
  <w:abstractNum w:abstractNumId="155">
    <w:nsid w:val="17180B0B"/>
    <w:multiLevelType w:val="hybridMultilevel"/>
    <w:lvl w:ilvl="0">
      <w:lvlJc w:val="left"/>
      <w:lvlText w:val="%1."/>
      <w:numFmt w:val="decimal"/>
      <w:start w:val="17"/>
    </w:lvl>
  </w:abstractNum>
  <w:abstractNum w:abstractNumId="156">
    <w:nsid w:val="579328B9"/>
    <w:multiLevelType w:val="hybridMultilevel"/>
    <w:lvl w:ilvl="0">
      <w:lvlJc w:val="left"/>
      <w:lvlText w:val="%1."/>
      <w:numFmt w:val="decimal"/>
      <w:start w:val="18"/>
    </w:lvl>
  </w:abstractNum>
  <w:abstractNum w:abstractNumId="157">
    <w:nsid w:val="5D205E20"/>
    <w:multiLevelType w:val="hybridMultilevel"/>
    <w:lvl w:ilvl="0">
      <w:lvlJc w:val="left"/>
      <w:lvlText w:val="%1."/>
      <w:numFmt w:val="decimal"/>
      <w:start w:val="19"/>
    </w:lvl>
  </w:abstractNum>
  <w:abstractNum w:abstractNumId="158">
    <w:nsid w:val="11CCA8BA"/>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2026-10-27T15:53:57Z</dcterms:created>
  <dcterms:modified xsi:type="dcterms:W3CDTF">2026-10-27T15:53:57Z</dcterms:modified>
</cp:coreProperties>
</file>