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274d6_8k.htm"/>
      <w:bookmarkStart w:id="1" w:name="kstm2619274d6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br/>
      </w: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br/>
      </w: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 xml:space="preserve">FORM </w:t>
      </w:r>
      <w:bookmarkStart w:id="2" w:name="xdx_90A_edei--DocumentType_c20260707__20"/>
      <w:bookmarkEnd w:id="2"/>
      <w:r>
        <w:rPr>
          <w:rFonts w:ascii="Times New Roman;Times;Serif" w:hAnsi="Times New Roman;Times;Serif"/>
          <w:b/>
          <w:i w:val="false"/>
          <w:caps/>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AUTOZONE,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2465"/>
        <w:gridCol w:w="2210"/>
        <w:gridCol w:w="2915"/>
      </w:tblGrid>
      <w:tr>
        <w:trPr/>
        <w:tc>
          <w:tcPr>
            <w:tcW w:w="2465"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Nevada</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707"/>
            <w:bookmarkEnd w:id="6"/>
            <w:r>
              <w:rPr>
                <w:rFonts w:ascii="Times New Roman;Times;Serif" w:hAnsi="Times New Roman;Times;Serif"/>
                <w:b/>
                <w:sz w:val="20"/>
              </w:rPr>
              <w:t>1-10714</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62-1482048</w:t>
            </w:r>
          </w:p>
        </w:tc>
      </w:tr>
      <w:tr>
        <w:trPr/>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123 South Front Street</w:t>
      </w:r>
    </w:p>
    <w:p>
      <w:pPr>
        <w:pStyle w:val="TextBody"/>
        <w:bidi w:val="0"/>
        <w:spacing w:before="0" w:after="0"/>
        <w:jc w:val="center"/>
        <w:rPr>
          <w:rFonts w:ascii="Times New Roman;Times;Serif" w:hAnsi="Times New Roman;Times;Serif"/>
          <w:b w:val="false"/>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Memphis, </w:t>
      </w:r>
      <w:bookmarkStart w:id="10" w:name="xdx_907_edei--EntityAddressStateOrProvin"/>
      <w:bookmarkEnd w:id="10"/>
      <w:r>
        <w:rPr>
          <w:rFonts w:ascii="Times New Roman;Times;Serif" w:hAnsi="Times New Roman;Times;Serif"/>
          <w:b/>
          <w:i w:val="false"/>
          <w:caps w:val="false"/>
          <w:smallCaps w:val="false"/>
          <w:sz w:val="20"/>
        </w:rPr>
        <w:t>Tennessee</w:t>
      </w:r>
      <w:r>
        <w:rPr>
          <w:rFonts w:ascii="Times New Roman;Times;Serif" w:hAnsi="Times New Roman;Times;Serif"/>
          <w:b w:val="false"/>
          <w:i w:val="false"/>
          <w:caps w:val="false"/>
          <w:smallCaps w:val="false"/>
          <w:sz w:val="20"/>
        </w:rPr>
        <w:t xml:space="preserve"> </w:t>
      </w:r>
      <w:bookmarkStart w:id="11" w:name="xdx_90E_edei--EntityAddressPostalZipCode"/>
      <w:bookmarkEnd w:id="11"/>
      <w:r>
        <w:rPr>
          <w:rFonts w:ascii="Times New Roman;Times;Serif" w:hAnsi="Times New Roman;Times;Serif"/>
          <w:b/>
          <w:i w:val="false"/>
          <w:caps w:val="false"/>
          <w:smallCaps w:val="false"/>
          <w:sz w:val="20"/>
        </w:rPr>
        <w:t>38103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7_edei--CityAreaCode_c20260707__20"/>
      <w:bookmarkEnd w:id="12"/>
      <w:r>
        <w:rPr>
          <w:rFonts w:ascii="Times New Roman;Times;Serif" w:hAnsi="Times New Roman;Times;Serif"/>
          <w:b/>
          <w:i w:val="false"/>
          <w:caps w:val="false"/>
          <w:smallCaps w:val="false"/>
          <w:sz w:val="20"/>
        </w:rPr>
        <w:t xml:space="preserve">901) </w:t>
      </w:r>
      <w:bookmarkStart w:id="13" w:name="xdx_901_edei--LocalPhoneNumber_c20260707"/>
      <w:bookmarkEnd w:id="13"/>
      <w:r>
        <w:rPr>
          <w:rFonts w:ascii="Times New Roman;Times;Serif" w:hAnsi="Times New Roman;Times;Serif"/>
          <w:b/>
          <w:i w:val="false"/>
          <w:caps w:val="false"/>
          <w:smallCaps w:val="false"/>
          <w:sz w:val="20"/>
        </w:rPr>
        <w:t>495-6500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1020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c>
      </w:tr>
      <w:tr>
        <w:trPr/>
        <w:tc>
          <w:tcPr>
            <w:tcW w:w="325" w:type="dxa"/>
            <w:tcBorders/>
            <w:vAlign w:val="center"/>
          </w:tcPr>
          <w:p>
            <w:pPr>
              <w:pStyle w:val="TableContents"/>
              <w:bidi w:val="0"/>
              <w:spacing w:before="0" w:after="283"/>
              <w:jc w:val="left"/>
              <w:rPr/>
            </w:pPr>
            <w:bookmarkStart w:id="14" w:name="xdx_90C_edei--WrittenCommunications_c202"/>
            <w:bookmarkEnd w:id="14"/>
            <w:r>
              <w:rPr/>
              <w:t>☐</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25" w:type="dxa"/>
            <w:tcBorders/>
            <w:vAlign w:val="center"/>
          </w:tcPr>
          <w:p>
            <w:pPr>
              <w:pStyle w:val="TableContents"/>
              <w:bidi w:val="0"/>
              <w:spacing w:before="0" w:after="283"/>
              <w:jc w:val="left"/>
              <w:rPr/>
            </w:pPr>
            <w:bookmarkStart w:id="15" w:name="xdx_90B_edei--SolicitingMaterial_c202607"/>
            <w:bookmarkEnd w:id="15"/>
            <w:r>
              <w:rPr/>
              <w:t>☐</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25" w:type="dxa"/>
            <w:tcBorders/>
            <w:vAlign w:val="center"/>
          </w:tcPr>
          <w:p>
            <w:pPr>
              <w:pStyle w:val="TableContents"/>
              <w:bidi w:val="0"/>
              <w:spacing w:before="0" w:after="283"/>
              <w:jc w:val="left"/>
              <w:rPr/>
            </w:pPr>
            <w:bookmarkStart w:id="16" w:name="xdx_909_edei--PreCommencementTenderOffer"/>
            <w:bookmarkEnd w:id="16"/>
            <w:r>
              <w:rPr/>
              <w:t>☐</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25" w:type="dxa"/>
            <w:tcBorders/>
            <w:vAlign w:val="center"/>
          </w:tcPr>
          <w:p>
            <w:pPr>
              <w:pStyle w:val="TableContents"/>
              <w:bidi w:val="0"/>
              <w:spacing w:before="0" w:after="283"/>
              <w:jc w:val="left"/>
              <w:rPr/>
            </w:pPr>
            <w:bookmarkStart w:id="17" w:name="xdx_909_edei--PreCommencementIssuerTende"/>
            <w:bookmarkEnd w:id="17"/>
            <w:r>
              <w:rPr/>
              <w:t>☐</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3410"/>
        <w:gridCol w:w="60"/>
        <w:gridCol w:w="1535"/>
        <w:gridCol w:w="60"/>
        <w:gridCol w:w="359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bottom w:val="single" w:sz="8" w:space="0" w:color="000000"/>
            </w:tcBorders>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bottom w:val="single" w:sz="8" w:space="0" w:color="000000"/>
            </w:tcBorders>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A_edei--Security12bTitle_c20260707"/>
            <w:bookmarkEnd w:id="18"/>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9_edei--TradingSymbol_c20260707__2"/>
            <w:bookmarkEnd w:id="19"/>
            <w:r>
              <w:rPr>
                <w:rFonts w:ascii="Times New Roman;Times;Serif" w:hAnsi="Times New Roman;Times;Serif"/>
                <w:sz w:val="20"/>
              </w:rPr>
              <w:t>AZO</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AutoZone, Inc. (the “Company”) entered into an underwriting agreement (the “Underwriting Agreement”), by and among the Company and BofA Securities, Inc., J.P. Morgan Securities LLC, Truist Securities, Inc., and U.S. Bancorp Investments, Inc., as representatives of the several underwriters named therein (the “Underwriters”), pursuant to which the Company agreed to issue and sell to the Underwriters, and the Underwriters agreed to purchase, $850,000,000 aggregate principal amount of the Company’s 4.950% Notes due 2031 (the “Notes”). The Underwriting Agreement contains customary representations, warranties and agreements of the Company and customary conditions to closing, indemnification rights and obligations of the parties and termination provisions. The description of the Underwriting Agreement is qualified in its entirety by reference to the Underwriting Agreement, a copy of which is attached hereto as Exhibit 1.1.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Underwriters or their respective affiliates have, from time to time, performed, and may in the future perform, various financial advisory, commercial banking and investment banking services for the Company and its affiliates, for which they received or will receive customary fees and expense reimbursement. Certain of the Underwriters or their affiliates are lenders and/or agents under the Company’s existing revolving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9"/>
        <w:gridCol w:w="60"/>
        <w:gridCol w:w="9476"/>
      </w:tblGrid>
      <w:tr>
        <w:trPr/>
        <w:tc>
          <w:tcPr>
            <w:tcW w:w="669" w:type="dxa"/>
            <w:tcBorders>
              <w:bottom w:val="single" w:sz="8" w:space="0" w:color="000000"/>
            </w:tcBorders>
            <w:vAlign w:val="center"/>
          </w:tcPr>
          <w:p>
            <w:pPr>
              <w:pStyle w:val="TableContents"/>
              <w:bidi w:val="0"/>
              <w:spacing w:before="0" w:after="283"/>
              <w:jc w:val="center"/>
              <w:rPr>
                <w:sz w:val="20"/>
              </w:rPr>
            </w:pPr>
            <w:r>
              <w:rPr>
                <w:sz w:val="20"/>
              </w:rPr>
              <w:t xml:space="preserve">Exhibit </w:t>
              <w:br/>
              <w:t>No.</w:t>
            </w:r>
          </w:p>
        </w:tc>
        <w:tc>
          <w:tcPr>
            <w:tcW w:w="60" w:type="dxa"/>
            <w:tcBorders/>
            <w:tcMar>
              <w:bottom w:w="0" w:type="dxa"/>
            </w:tcMar>
            <w:vAlign w:val="center"/>
          </w:tcPr>
          <w:p>
            <w:pPr>
              <w:pStyle w:val="TableContents"/>
              <w:bidi w:val="0"/>
              <w:spacing w:before="0" w:after="283"/>
              <w:jc w:val="left"/>
              <w:rPr/>
            </w:pPr>
            <w:r>
              <w:rPr/>
              <w:t> </w:t>
            </w:r>
          </w:p>
        </w:tc>
        <w:tc>
          <w:tcPr>
            <w:tcW w:w="9476" w:type="dxa"/>
            <w:tcBorders>
              <w:bottom w:val="single" w:sz="8" w:space="0" w:color="000000"/>
            </w:tcBorders>
            <w:vAlign w:val="center"/>
          </w:tcPr>
          <w:p>
            <w:pPr>
              <w:pStyle w:val="TableContents"/>
              <w:bidi w:val="0"/>
              <w:spacing w:before="0" w:after="283"/>
              <w:jc w:val="center"/>
              <w:rPr>
                <w:sz w:val="20"/>
              </w:rPr>
            </w:pPr>
            <w:r>
              <w:rPr>
                <w:sz w:val="20"/>
              </w:rPr>
              <w:t>Description</w:t>
            </w:r>
          </w:p>
        </w:tc>
      </w:tr>
      <w:tr>
        <w:trPr/>
        <w:tc>
          <w:tcPr>
            <w:tcW w:w="669" w:type="dxa"/>
            <w:tcBorders/>
            <w:tcMar>
              <w:bottom w:w="0" w:type="dxa"/>
            </w:tcMar>
            <w:vAlign w:val="center"/>
          </w:tcPr>
          <w:p>
            <w:pPr>
              <w:pStyle w:val="TableContents"/>
              <w:bidi w:val="0"/>
              <w:spacing w:before="0" w:after="283"/>
              <w:jc w:val="left"/>
              <w:rPr/>
            </w:pPr>
            <w:hyperlink w:anchor="tm2619274d6_ex1-1.htm">
              <w:r>
                <w:rPr>
                  <w:rStyle w:val="InternetLink"/>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476" w:type="dxa"/>
            <w:tcBorders/>
            <w:tcMar>
              <w:bottom w:w="0" w:type="dxa"/>
            </w:tcMar>
            <w:vAlign w:val="center"/>
          </w:tcPr>
          <w:p>
            <w:pPr>
              <w:pStyle w:val="TableContents"/>
              <w:bidi w:val="0"/>
              <w:spacing w:before="0" w:after="283"/>
              <w:jc w:val="both"/>
              <w:rPr/>
            </w:pPr>
            <w:hyperlink w:anchor="tm2619274d6_ex1-1.htm">
              <w:r>
                <w:rPr>
                  <w:rStyle w:val="InternetLink"/>
                  <w:sz w:val="20"/>
                </w:rPr>
                <w:t>Underwriting Agreement, dated July 7, 2026, by and among the Company and BofA Securities, Inc., J.P. Morgan Securities LLC, Truist Securities, Inc., and U.S. Bancorp Investments, Inc., as representatives of the several underwriters named therein.</w:t>
              </w:r>
            </w:hyperlink>
          </w:p>
        </w:tc>
      </w:tr>
      <w:tr>
        <w:trPr/>
        <w:tc>
          <w:tcPr>
            <w:tcW w:w="669"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76"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Date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5256" w:right="0" w:hanging="0"/>
        <w:jc w:val="left"/>
        <w:rPr>
          <w:caps w:val="false"/>
          <w:smallCaps w:val="false"/>
        </w:rPr>
      </w:pPr>
      <w:r>
        <w:rPr>
          <w:caps w:val="false"/>
          <w:smallCaps w:val="false"/>
        </w:rPr>
        <w:t> </w:t>
      </w:r>
    </w:p>
    <w:tbl>
      <w:tblPr>
        <w:tblW w:w="3735" w:type="dxa"/>
        <w:jc w:val="left"/>
        <w:tblInd w:w="0" w:type="dxa"/>
        <w:tblLayout w:type="fixed"/>
        <w:tblCellMar>
          <w:top w:w="0" w:type="dxa"/>
          <w:left w:w="0" w:type="dxa"/>
          <w:bottom w:w="0" w:type="dxa"/>
          <w:right w:w="0" w:type="dxa"/>
        </w:tblCellMar>
      </w:tblPr>
      <w:tblGrid>
        <w:gridCol w:w="1520"/>
        <w:gridCol w:w="320"/>
        <w:gridCol w:w="1895"/>
      </w:tblGrid>
      <w:tr>
        <w:trPr/>
        <w:tc>
          <w:tcPr>
            <w:tcW w:w="1520" w:type="dxa"/>
            <w:tcBorders/>
            <w:vAlign w:val="center"/>
          </w:tcPr>
          <w:p>
            <w:pPr>
              <w:pStyle w:val="TableContents"/>
              <w:bidi w:val="0"/>
              <w:spacing w:before="0" w:after="283"/>
              <w:jc w:val="righ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AUTOZONE, INC.</w:t>
            </w:r>
          </w:p>
        </w:tc>
      </w:tr>
      <w:tr>
        <w:trPr/>
        <w:tc>
          <w:tcPr>
            <w:tcW w:w="1520" w:type="dxa"/>
            <w:tcBorders/>
            <w:vAlign w:val="center"/>
          </w:tcPr>
          <w:p>
            <w:pPr>
              <w:pStyle w:val="TableContents"/>
              <w:bidi w:val="0"/>
              <w:spacing w:before="0" w:after="283"/>
              <w:jc w:val="righ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9,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Jamere Jackson</w:t>
            </w:r>
          </w:p>
        </w:tc>
      </w:tr>
      <w:tr>
        <w:trPr/>
        <w:tc>
          <w:tcPr>
            <w:tcW w:w="1520" w:type="dxa"/>
            <w:tcBorders/>
            <w:vAlign w:val="center"/>
          </w:tcPr>
          <w:p>
            <w:pPr>
              <w:pStyle w:val="TableContents"/>
              <w:bidi w:val="0"/>
              <w:spacing w:before="0" w:after="283"/>
              <w:jc w:val="righ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Jamere Jackson</w:t>
            </w:r>
          </w:p>
        </w:tc>
      </w:tr>
      <w:tr>
        <w:trPr/>
        <w:tc>
          <w:tcPr>
            <w:tcW w:w="1520" w:type="dxa"/>
            <w:tcBorders/>
            <w:vAlign w:val="center"/>
          </w:tcPr>
          <w:p>
            <w:pPr>
              <w:pStyle w:val="TableContents"/>
              <w:bidi w:val="0"/>
              <w:spacing w:before="0" w:after="283"/>
              <w:jc w:val="righ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tm2619274d6_ex1-1.htm"/>
      <w:bookmarkStart w:id="23" w:name="kstm2619274d6_ex1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$850,000,000 4.950%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7, 2026</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145"/>
        <w:gridCol w:w="5270"/>
        <w:gridCol w:w="530"/>
      </w:tblGrid>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w:t>
            </w:r>
          </w:p>
        </w:tc>
        <w:tc>
          <w:tcPr>
            <w:tcW w:w="530" w:type="dxa"/>
            <w:tcBorders/>
            <w:vAlign w:val="center"/>
          </w:tcPr>
          <w:p>
            <w:pPr>
              <w:pStyle w:val="TableContents"/>
              <w:bidi w:val="0"/>
              <w:spacing w:before="0" w:after="283"/>
              <w:jc w:val="right"/>
              <w:rPr/>
            </w:pPr>
            <w:r>
              <w:rPr/>
              <w:t>3</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and Delivery to Underwriters; Closing</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Covenants of the Company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Expenses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of Underwriters’ Obligations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Warranties and Agreements to Survive Delivery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 by One or More of the Underwriters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12.</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Advisory or Fiduciary Relationship</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13.</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Integration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14.</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15.</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and Time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16.</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Headings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17.</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4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right"/>
              <w:rPr>
                <w:sz w:val="20"/>
              </w:rPr>
            </w:pPr>
            <w:r>
              <w:rPr>
                <w:sz w:val="20"/>
              </w:rPr>
              <w:t>S I-1</w:t>
            </w:r>
          </w:p>
        </w:tc>
      </w:tr>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right"/>
              <w:rPr>
                <w:sz w:val="20"/>
              </w:rPr>
            </w:pPr>
            <w:r>
              <w:rPr>
                <w:sz w:val="20"/>
              </w:rPr>
              <w:t>S II-1</w:t>
            </w:r>
          </w:p>
        </w:tc>
      </w:tr>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III</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right"/>
              <w:rPr>
                <w:sz w:val="20"/>
              </w:rPr>
            </w:pPr>
            <w:r>
              <w:rPr>
                <w:sz w:val="20"/>
              </w:rPr>
              <w:t>S III-1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 named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Schedule I attached hereto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Truist Securities, Inc.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Hudson Yards, 70th Floor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U.S. Bancorp Investments, Inc.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N. Tryon Street, 26th Floor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AutoZone, Inc., a Nevada corporation (the “Company”), proposes, subject to the terms and conditions stated herein, to issue and sell to the several Underwriters named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“Underwriters”), for whom BofA Securities, Inc., J.P. Morgan Securities LLC, Truist Securities, Inc. and U.S. Bancorp Investments, Inc. are acting as representatives (the “Representatives”), $850,000,000 in aggregate principal amount of its 4.950% Senior Notes due 2031 (the “Securities”) to be issued pursuant to the provisions of an Indenture dated as of August 8, 2003 (as supplemented by an officers’ certificate to be dated as of July 14, 2026, the “Indenture”) between the Company and Regions Bank, successor in interest to The Bank of New York Mellon Trust Company, N.A., successor in interest to Bank One Trust Company, N.A.,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Securities and Exchange Commission (the “Commission”) an automatic shelf registration statement on Form S-3 (Registration No. 333-297291), including a base prospectus dated July 7, 2026 (the “Base Prospectus”), relating to the Securities and has filed with, or transmitted for filing to, or shall promptly hereafter file with or transmit for filing to, the Commission (i) a prospectus supplement (the “Prospectus Supplement”) specifically relating to the Securities pursuant to Rule 430B and Rule 424 under the Securities Act of 1933, as amended (the “1933 Act”), and (ii) the Base Prospectus. The term “Registration Statement” means the registration statement (Registration No. 333-297291), as amended to the date of this Underwriting Agreement (this “Agreement”), including the information (if any) deemed to be part of such registration statement at the time it became effective including, if applicable, the Rule 430B Information. The term “Rule 430B Information” means any information in the Prospectus Supplement that was omitted from the Registration Statement at the time it was declared effective but is deemed to be a part of and included in the Registration Statement. The term “Prospectus” means the Base Prospectus together with the Prospectus Supplement. The term “preliminary prospectus” means a preliminary prospectus supplement specifically relating to the Securities that omitted the Rule 430B Information or that was captioned “Subject to Completion” and that was used after the Registration Statement became effective and prior to the execution and delivery of this Agreement, together with the Base Prospectus. As used herein, the terms “Base Prospectus,” “Prospectus,” “preliminary prospectus” and “General Disclosure Package” (as defined below) shall include, in each case, the documents incorporated by reference therein, and the term “Registration Statement” shall include the documents incorporated or deemed to be incorporated by reference therein or otherwise deemed by the rules and regulations of the Commission under the Securities Act (the “1933 Act Regulations”) to be a part of or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all references to the Registration Statement, Prospectus or preliminary prospectus or to any amendment or supplement to any of the foregoing shall be deemed to include any copy filed with the Commission pursuant to its Electronic Data Gathering, Analysis and Retrieval system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(or other references of like import) in the Registration Statement, Prospectus or preliminary prospectus shall be deemed to mean and include all such financial statements and schedules and other information which is incorporated by reference in or otherwise deemed by the 1933 Act Regulations to be part of or included in the Registration Statement, Prospectus or preliminary prospectus, as the case may be, prior to the execution of this Agreement; and all references in this Agreement to amendments or supplements to the Registration Statement, Prospectus or preliminary prospectus shall be deemed to mean and include the filing of any document under the Securities Exchange Act of 1934, as amended (the “1934 Act”) which is incorporated by reference in or otherwise deemed by the 1933 Act Regulations to be part of or included in the Registration Statement, Prospectus or preliminary prospectus, as the case may be, after the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w:t>
        <w:tab/>
        <w:t>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 by the Company</w:t>
      </w:r>
      <w:r>
        <w:rPr>
          <w:rFonts w:ascii="Times New Roman;Times;Serif" w:hAnsi="Times New Roman;Times;Serif"/>
          <w:b w:val="false"/>
          <w:i w:val="false"/>
          <w:caps w:val="false"/>
          <w:smallCaps w:val="false"/>
          <w:sz w:val="20"/>
        </w:rPr>
        <w:t>. The Company represents and warrants to the Representatives and to each Underwriter, as of the date hereof and as of the Closing Time (as defined below) (in each case, a “Representation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Status as a Well-Known Seasoned Issuer</w:t>
      </w:r>
      <w:r>
        <w:rPr>
          <w:rFonts w:ascii="Times New Roman;Times;Serif" w:hAnsi="Times New Roman;Times;Serif"/>
          <w:b w:val="false"/>
          <w:i w:val="false"/>
          <w:caps w:val="false"/>
          <w:smallCaps w:val="false"/>
          <w:sz w:val="20"/>
        </w:rPr>
        <w:t>. The Company is a “well-known seasoned issuer” as defined in Rule 405 of the 1933 Act Regulations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filing the Registration Statement,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The Company meets the requirements for use of Form S-3 under the 1933 Act. The Registration Statement is an “automatic shelf registration statement,” as defined in Rule 405, that became effective under the 1933 Act upon filing with the Commission and no stop order suspending the effectiveness of the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 The Company has not received from the Commission any notice pursuant to Rule 401(g)(2) of the 1933 Act Regulations objecting to use of the automatic shelf registration statement form and the Company has not otherwise ceased to be eligible to use the automatic shelf registration statement form. In addition, the Indenture has been duly qualified under the Trust Indenture Act of 1939, as amended (the “1939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respective times the Registration Statement and each amendment thereto (including the filing of the Company’s most recent Annual Report on Form 10-K with the Commission (the “Annual Report on Form 10-K”)) became effective, at each deemed effective date with respect to the Underwriters pursuant to Rule 430B(f)(2) of the 1933 Act Regulations and at each Representation Date, the Registration Statement and any amendments thereto complied and will comply in all material respects with the requirements of the 1933 Act and the 1933 Act Regulations and the 1939 Act and the rules and regulations of the Commission under the 1939 Act (the “1939 Act Regulations”) and did not and will not contain an untrue statement of a material fact or omit to state a material fact required to be stated therein or necessary to make the statements therein not misleading. At the date of the Prospectus and at the Closing Time, neither the Prospectus nor any amendments and supplements thereto included or will include an untrue statement of a material fact or omitted or will omit to state a material fact necessary in order to make the statements therein, in the light of the circumstances under which they were made, not misleading. The interactive data in eXtensible Business Reporting Language (“XBRL”) incorporated by reference in the Registration Statement, the General Disclosure Package and the Prospectus fairly presents the information called for in all material respects and has been prepared in accordance with the 1933 Act, the 1934 Act, the 1933 Act Regulations and the 1934 Act Regulations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preliminary prospectus relating to the Securities (including the prospectus or prospectuses filed as part of the Registration Statement or any amendment thereto, or filed pursuant to Rule 424 under the 1933 Act) and the Prospectus, complied when so filed in all material respects with the 1933 Act Regulations and each preliminary prospectus and the Prospectus delivered to the Underwriters for use in connection with the offering of Securities will, at the time of such delivery, be identical to any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each of the Applicable Time (as defined below) and the time of filing of the Final Term Sheet (as defined in Section 3(b)), neither (x) the Issuer General Use Free Writing Prospectus(es) (as defined below) issued at or prior to the Applicable Time and the Statutory Prospectus (as defined below), all considered together (collectively, the “General Disclosure Package”), nor (y) any individual Issuer Limited Use Free Writing Prospectus (as defined below), when considered together with the General Disclosure Package, included any untrue statement of a material fact or omitted to state any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subsection and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Time” means 3:05 p.m. (Eastern time) on July 7, 2026, or such other time as agreed by the Company and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Free Writing Prospectus” means any “issuer free writing prospectus,” as defined in Rule 433 of the 1933 Act Regulations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Issuer General Use Free Writing Prospectus” means any Issuer Free Writing Prospectus that is intended for general distribution to prospective investors, as evidenced by its being specified in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Limited Use Free Writing Prospectus” means any Issuer Free Writing Prospectus that is not an Issuer General Use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Statutory Prospectus” as of any time means the prospectus supplement relating to the Securities, together with the base prospectus that is included in the Registration Statement immediately prior to that time, including any document incorporated by reference therein and any preliminary or other prospectus deemed to be a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Issuer Free Writing Prospectus, as of its issue date and at all subsequent times through the completion of the public offer and sale of the Securities or until any earlier date that the issuer notified or notifies the Representatives as described in Section 3(e),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in this subsection shall not apply to statements in or omissions from the Registration Statement, the Prospectus or any Issuer Free Writing Prospectus made in reliance upon and in conformity with written information furnished to the Company by any Underwriter through the Representatives expressly for use therein, it being understood and agreed that the only such information furnished by any Underwriter consists of the information described as such in Section 6(b)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xml:space="preserve">. The Company has not distributed and will not distribute, prior to the later of the Closing Time and the completion of the Underwriters’ distribution of the Securities, any offering material in connection with the offering and sale of the Securities other than a preliminary prospectus, the Prospectus, and any Issuer Free Writing Prospectus reviewed and consented to by the Representatives and included in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The Representatives shall provide notice to the Company if the distribution of the Securities has not been completed as of the Closing Time, and at such later time as the distribution of the Securities has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documents incorporated or deemed to be incorporated by reference in the Registration Statement, the General Disclosure Package and the Prospectus, when they became effective or at the time they were or hereafter are filed with the Commission, complied and will comply in all material respects with the requirements of the 1934 Act and the rules and regulations of the Commission thereunder (the “1934 Act Regulations”) and, when read together with the other information in the Prospectus and the General Disclosure Package, (a) at the time the Registration Statement became effective, (b) at the earlier of the time the Prospectus was first used and the date and time of the first contract of sale of Securities in the offering as set forth in this Agreement and (c) at the Closing Time, did not and will not include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The accountants who audited the financial statements and any supporting schedules thereto incorporated by reference in the Registration Statement, the General Disclosure Package and the Prospectus are an independent registered public accounting firm as required by the 1933 Act and the 1933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of the Company included in the Registration Statement, the General Disclosure Package and the Prospectus, together with the related schedules and notes, as well as those financial statements, schedules and notes of any other entity included therein, present fairly in all material respects the financial position of the Company and its consolidated subsidiaries, or such other entity, as the case may be, at the dates indicated and the statements of operations, stockholders’ equity and cash flows of the Company and its consolidated subsidiaries, or such other entity, as the case may be, for the periods specified. Such financial statements have been prepared in conformity with accounting principles generally accepted in the United States (“GAAP”) applied on a consistent basis throughout the periods involved, except as disclosed therein. The supporting schedules, if any, have been prepared in conformity with GAAP and present fairly in all material respects the information required to be stated therein. The selected financial data included in the General Disclosure Package or the Prospectus present fairly in all material respects the information shown therein and have been compiled on a basis consistent with that of the audited financial statements incorporated by reference in the Registration Statement and the Prospectus. All disclosures contained in the Registration Statement, the General Disclosure Package or the Prospectus regarding “non-GAAP financial measures” (as such term is defined by the rules and regulations of the Commission) comply with Regulation G under the 1934 Act and Item 10(e) of Regulation S-K of the 1933 Act Regulations,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No Material Adverse Change in Business</w:t>
      </w:r>
      <w:r>
        <w:rPr>
          <w:rFonts w:ascii="Times New Roman;Times;Serif" w:hAnsi="Times New Roman;Times;Serif"/>
          <w:b w:val="false"/>
          <w:i w:val="false"/>
          <w:caps w:val="false"/>
          <w:smallCaps w:val="false"/>
          <w:sz w:val="20"/>
        </w:rPr>
        <w:t>. Since the respective dates as of which information is given in the Registration Statement, the General Disclosure Package and the Prospectus, except as otherwise disclosed therein, (A) there has been no material adverse change in the financial condition, earnings, management or business affairs, or any development involving a prospective material adverse change in the financial condition, earnings, management or business affairs, of the Company and its subsidiaries considered as one enterprise, whether or not arising in the ordinary course of business (a “Material Adverse Effect”), (B) there have been no transactions entered into by the Company or any of its subsidiaries, other than those arising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Good Standing of the Company</w:t>
      </w:r>
      <w:r>
        <w:rPr>
          <w:rFonts w:ascii="Times New Roman;Times;Serif" w:hAnsi="Times New Roman;Times;Serif"/>
          <w:b w:val="false"/>
          <w:i w:val="false"/>
          <w:caps w:val="false"/>
          <w:smallCaps w:val="false"/>
          <w:sz w:val="20"/>
        </w:rPr>
        <w:t>. The Company has been duly organized and is validly existing as a corporation in good standing under the laws of the State of Nevada and has the corporate power and authority to own, lease and operate its properties and to conduct its business as described in the Registration Statement, the General Disclosure Package and the Prospectus and to enter into and perform its obligations under, or as contemplated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individually or in the aggregate,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Good Standing of Subsidiaries</w:t>
      </w:r>
      <w:r>
        <w:rPr>
          <w:rFonts w:ascii="Times New Roman;Times;Serif" w:hAnsi="Times New Roman;Times;Serif"/>
          <w:b w:val="false"/>
          <w:i w:val="false"/>
          <w:caps w:val="false"/>
          <w:smallCaps w:val="false"/>
          <w:sz w:val="20"/>
        </w:rPr>
        <w:t>. Each “significant subsidiary” of the Company (as such term is defined in Rule 1-02 of Regulation S-X promulgated under the 1933 Act) (each, a “Subsidiary” and, collectively, the “Subsidiaries”), if any, has been duly organized and is validly existing as a corporation, limited liability company or limited partnership in good standing under the laws of the jurisdiction of its organization, has corporate, limited liability company or partnership power and authority to own, lease and operate its properties and to conduct its business as described in the Registration Statement, the General Disclosure Package and the Prospectus and is duly qualified as a foreign corporation, limited liability company or partnership, as the case may be, to transact business and is in good standing in each jurisdiction in which such qualification is required, whether by reason of the ownership or leasing of property or the conduct of business, except where the failure to so qualify or be in good standing would not, individually or in the aggregate, result in a Material Adverse Effect. Except as otherwise stated in the Registration Statement, the General Disclosure Package and the Prospectus, all of the issued and outstanding capital stock, limited liability company member interests or partnership interests of each Subsidiary have been duly authorized and are validly issued, fully paid and non-assessable and are owned by the Company, directly or through subsidiaries, free and clear of any security interest, mortgage, pledge, lien, encumbrance, claim or equity. None of the outstanding shares of capital stock, limited liability company member interests or partnership interest of any Subsidiary was issued in violation of preemptive or other similar rights of any securityholder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Authorization of this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Authorization of the Securities</w:t>
      </w:r>
      <w:r>
        <w:rPr>
          <w:rFonts w:ascii="Times New Roman;Times;Serif" w:hAnsi="Times New Roman;Times;Serif"/>
          <w:b w:val="false"/>
          <w:i w:val="false"/>
          <w:caps w:val="false"/>
          <w:smallCaps w:val="false"/>
          <w:sz w:val="20"/>
        </w:rPr>
        <w:t>. The Securities have been duly authorized by the Company for issuance and sale pursuant to this Agreement. Such Securities, when issued and authenticated in the manner provided for in the Indenture and delivered against payment of the consideration therefor specified in this Agreement, will constitute valid and binding obligations of the Company enforceable against the Company in accordance with their terms, except as the enforcement thereof may be limited by bankruptcy, insolvency (including, without limitation, all laws relating to fraudulent transfers), reorganization, moratorium or other similar laws affecting the enforcement of creditors’ rights generally or by general equitable principles (regardless of whether enforcement is considered in a proceeding in equity or at law), and except further as enforcement thereof may be limited by requirements that a claim with respect to any Securities payable in a foreign or composite currency (or a foreign or composite currency judgment in respect of such claim) be converted into U.S. dollars at a rate of exchange prevailing on a date determined pursuant to applicable law or by governmental authority to limit, delay or prohibit the making of payments outside the United States. Such Securities will be in the form contemplated by, and each registered holder thereof is entitled to the benefits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Authorization of the Indenture</w:t>
      </w:r>
      <w:r>
        <w:rPr>
          <w:rFonts w:ascii="Times New Roman;Times;Serif" w:hAnsi="Times New Roman;Times;Serif"/>
          <w:b w:val="false"/>
          <w:i w:val="false"/>
          <w:caps w:val="false"/>
          <w:smallCaps w:val="false"/>
          <w:sz w:val="20"/>
        </w:rPr>
        <w:t>. The Indenture has been, or prior to the issuance of the Securities thereunder will have been, duly authorized, executed and delivered by the Company and, upon such authorization, execution and delivery, will constitute a valid and binding agreement of the Company enforceable against the Company in accordance with its terms, except as the enforcement thereof may be limited by bankruptcy, insolvency (including, without limitation, all laws relating to fraudulent transfers), reorganization, moratorium or other similar laws affecting the enforcement of creditors’ rights generally or by general equitable principles (regardless of whether enforcement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Descriptions of the Securities and Indenture</w:t>
      </w:r>
      <w:r>
        <w:rPr>
          <w:rFonts w:ascii="Times New Roman;Times;Serif" w:hAnsi="Times New Roman;Times;Serif"/>
          <w:b w:val="false"/>
          <w:i w:val="false"/>
          <w:caps w:val="false"/>
          <w:smallCaps w:val="false"/>
          <w:sz w:val="20"/>
        </w:rPr>
        <w:t>. The Securities being sold pursuant to this Agreement and the Indenture conform in all material respects to the statements relating thereto contained in the General Disclosure Package and the Prospectus and are in substantially the form of a global note(s) filed or incorporated by reference, as the case may be,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Absence of Defaults and Conflicts</w:t>
      </w:r>
      <w:r>
        <w:rPr>
          <w:rFonts w:ascii="Times New Roman;Times;Serif" w:hAnsi="Times New Roman;Times;Serif"/>
          <w:b w:val="false"/>
          <w:i w:val="false"/>
          <w:caps w:val="false"/>
          <w:smallCaps w:val="false"/>
          <w:sz w:val="20"/>
        </w:rPr>
        <w:t>. Neither the Company nor any of its Subsidiaries is (a) in violation of its charter or by-laws, or other organizational documents, as applicable,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assets, properties or operations of the Company or any of its Subsidiaries is subject (collectively, “Agreements and Instruments”), except for such defaults that would not, individually or in the aggregate, result in a Material Adverse Effect or (c) in violation of any applicable law, statute, rule, regulation, judgment, order, writ or decree of any government, government instrumentality or court, domestic or foreign, having jurisdiction over the Company or any of its Subsidiaries or any of their assets, properties or operations, except for violations that would not, individually or in the aggregate, result in a Material Adverse Effect. The execution, delivery and performance of this Agreement and the Indenture and any other agreement or instrument entered into or issued or to be entered into or issued by the Company in connection with the transactions contemplated hereby or thereby or in the Registration Statement and the Prospectus and the consummation of the transactions contemplated herein and in the Registration Statement and the Prospectus (including the issuance and sale of the Securities and the use of the proceeds from the sale of the Securities as described under the caption “Use of Proceeds”) and compliance by the Company with its obligations hereunder and thereunder have been duly authorized by all necessary corporate action and do not and will not, whether with or without the giving of notice or passage of time or both, (i) conflict with or constitute a breach of or default or Repayment Event (as defined below) under, or (ii) result in the creation or imposition of any lien, charge or encumbrance upon any assets, properties or operations of the Company or any of its Subsidiaries pursuant to, any Agreements and Instruments, nor will such action result in any violation of (a) the provisions of the charter or by-laws, or other organizational documents, as applicable, of the Company or any of its Subsidiaries or (b) any applicable law, statute, rule, regulation, judgment, order, writ or decree of any government, government instrumentality or court, domestic or foreign, having jurisdiction over the Company or any of its Subsidiaries or any of their assets, properties or operations.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There is no action, suit, proceeding, inquiry or investigation before or brought by any court or governmental agency or body, domestic or foreign, now pending, or to the knowledge of the Company threatened, against or affecting the Company or any of its subsidiaries which is required to be disclosed in the Registration Statement, the General Disclosure Package and the Prospectus (other than as stated therein), or which might reasonably be expected to result, individually or in the aggregate, in a Material Adverse Effect, or which might reasonably be expected to materially and adversely affect the assets, properties or operations thereof or the consummation of the transactions contemplated under the Prospectus, this Agreement or the Indenture, or the performance by the Company of its obligations hereunder and thereunder. The aggregate of all pending legal or governmental proceedings to which the Company or any of its subsidiaries is a party or of which any of their respective assets, properties or operations is the subject which are not described in the Registration Statement, the General Disclosure Package and the Prospectus, including ordinary routine litigation incidental to the business, could not reasonably be expected to result, individually or in the aggregate,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Accuracy of Exhibits</w:t>
      </w:r>
      <w:r>
        <w:rPr>
          <w:rFonts w:ascii="Times New Roman;Times;Serif" w:hAnsi="Times New Roman;Times;Serif"/>
          <w:b w:val="false"/>
          <w:i w:val="false"/>
          <w:caps w:val="false"/>
          <w:smallCaps w:val="false"/>
          <w:sz w:val="20"/>
        </w:rPr>
        <w:t>. There are no contracts or documents which are required to be disclosed in the Registration Statement, the General Disclosure Package, the Prospectus or the documents incorporated by reference therein or to be filed as exhibits to the Registration Statement which have not been so disclosed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court or governmental authority or agency, domestic or foreign, is necessary or required for the due authorization, execution and delivery by the Company of this Agreement or for the performance by the Company of the transactions contemplated under the Prospectus, this Agreement or the Indenture, except such as have been already made, obtained or rendered, as applicable, and except such that the failure to make, obtain or render would not result in a Material Adverse Effect or materially adversely affect the consummation of the transactions contemplated by the Prospectus, this Agreement or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val="false"/>
          <w:i w:val="false"/>
          <w:caps w:val="false"/>
          <w:smallCaps w:val="false"/>
          <w:sz w:val="20"/>
          <w:u w:val="single"/>
        </w:rPr>
        <w:t>Possession of Intellectual Property</w:t>
      </w:r>
      <w:r>
        <w:rPr>
          <w:rFonts w:ascii="Times New Roman;Times;Serif" w:hAnsi="Times New Roman;Times;Serif"/>
          <w:b w:val="false"/>
          <w:i w:val="false"/>
          <w:caps w:val="false"/>
          <w:smallCaps w:val="false"/>
          <w:sz w:val="20"/>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its Subsidiaries has received any written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individually or in the aggregate, would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and its Subsidiaries have good and marketable title to all real property owned by the Company and its Subsidiaries and good title to all other properties owned by them, in each case, free and clear of all mortgages, pledges, liens, security interests, claims, restrictions or encumbrances of any kind, except (A) as otherwise stated in the Registration Statement, the General Disclosure Package and the Prospectus or (B) those which do not, singly or in the aggregate, have a Material Adverse Effect and do not interfere with the use made and proposed to be made of such property by the Company or any of its Subsidiaries. All of the leases and subleases of the Company and its Subsidiaries considered as one enterprise, and under which the Company or any of its Subsidiaries holds properties described in the General Disclosure Package and the Prospectus, are in full force and effect, except where the failure to be in full force and effect, individually or in the aggregate, would not result in a Material Adverse Effect, and neither the Company nor any of its Subsidiaries has received any written notice of any claim of any sort that has been asserted by anyone adverse to the rights of the Company or any of its Subsidiaries under any of the leases or subleases mentioned above, or affecting or questioning the rights of the Company or such Subsidiary of the continued possession of the leased or subleased premises under any such lease or sublease where such claim or claims, individually or in the aggregate, would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and upon the issuance and sale of the Securities as herein contemplated and the application of the net proceeds therefrom as described in the Prospectus will not be, an “investment company” within the meaning of the Investment Company Act of 1940, as amended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Except as otherwise stated in the Registration Statement, the General Disclosure Package and the Prospectus or except as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to the Company’s knowledge,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val="false"/>
          <w:i w:val="false"/>
          <w:caps w:val="false"/>
          <w:smallCaps w:val="false"/>
          <w:sz w:val="20"/>
          <w:u w:val="single"/>
        </w:rPr>
        <w:t>Accounting Controls and Disclosure Controls</w:t>
      </w:r>
      <w:r>
        <w:rPr>
          <w:rFonts w:ascii="Times New Roman;Times;Serif" w:hAnsi="Times New Roman;Times;Serif"/>
          <w:b w:val="false"/>
          <w:i w:val="false"/>
          <w:caps w:val="false"/>
          <w:smallCaps w:val="false"/>
          <w:sz w:val="20"/>
        </w:rPr>
        <w:t>. The Company and each of its consolidated subsidiaries maintain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XBRL incorporated by reference in the Registration Statement, the General Disclosure Package and the Prospectus fairly presents the information called for in all material respects. Except as described in the General Disclosure Package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consolidated subsidiaries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val="false"/>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val="false"/>
          <w:i w:val="false"/>
          <w:caps w:val="false"/>
          <w:smallCaps w:val="false"/>
          <w:sz w:val="20"/>
          <w:u w:val="single"/>
        </w:rPr>
        <w:t>Pending Proceedings and Examinations</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1933 Act, and the Company is not the subject of a pending proceeding under Section 8A of the 1933 Act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val="false"/>
          <w:i w:val="false"/>
          <w:caps w:val="false"/>
          <w:smallCaps w:val="false"/>
          <w:sz w:val="20"/>
          <w:u w:val="single"/>
        </w:rPr>
        <w:t>No Unlawful Payments</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or affiliate of the Company or any of its subsidiaries or any other person associated with or acting on behalf of the Company or any of its subsidiaries has (i) used any corporate funds for any unlawful contribution, gift, entertainment or other unlawful expense relating to political activity, (ii) made any direct or indirect unlawful payment or benefit to any foreign or domestic government official or employee from corporate funds, (iii) violated or is in violation of any provision of the Foreign Corrupt Practices Act of 1977, as amended, and the rules and regulations thereunder (the “FCPA”) or committed an offence under the Bribery Act 2010 of the United Kingdom, as amended, or (iv) made any bribe or any unlawful rebate, payoff, influence payment, kickback or other unlawful payment or benefit;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and the money laundering statutes of all applicable jurisdictions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val="false"/>
          <w:i w:val="false"/>
          <w:caps w:val="false"/>
          <w:smallCaps w:val="false"/>
          <w:sz w:val="20"/>
          <w:u w:val="single"/>
        </w:rPr>
        <w:t>Foreign Assets Control</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or affiliate of the Company or any of its subsidiaries is currently subject of any sanctions administered or enforced by the U.S. government (including, without limitation, by the Office of Foreign Assets Control of the U.S. Treasury Department), the United Nations Security Council, the European Union, His Majesty’s Treasury or any other relevant sanctions authority (collectively, “Sanctions”) nor is the Company, any of its subsidiaries located, organized or resident in a country, region or territory that is the subject or the target of Sanctions (including, without limitation, as of the date of this Agreement the Crimea Region of Ukraine, the so-called Donetsk People's Republic, the so-called Luhansk People's Republic, the non-government controlled areas of Kherson and Zaporizhzhia or any other covered region of Ukraine identified pursuant to Executive Order 14065, Cuba, Iran, North Korea and Syria (with respect to Syria only until July 1, 2025) (each, a “Sanctioned Country”)); and the Company will not directly or indirectly use the proceeds of the offering,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(A) There has been no security breach or incident, unauthorized access or disclosure, or other compromise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(B) neither the Company nor its subsidiaries have been notified of, and have no knowledge of any event or condition that would result in, any security breach or incident, unauthorized access or disclosure or other compromise to their IT Systems and Data and (C) the Company and its subsidiaries have implemented appropriate controls, policies, procedures, and technological safeguards designed to maintain and protect the integrity, continuous operation, redundancy and security of their IT Systems and Data reasonably consistent with industry standards and practices, or as required by applicable regulatory standards, except, with respect to clauses (A) and (B), as would not, singly or in the aggregate, result in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val="false"/>
          <w:i w:val="false"/>
          <w:caps w:val="false"/>
          <w:smallCaps w:val="false"/>
          <w:sz w:val="20"/>
          <w:u w:val="single"/>
        </w:rPr>
        <w:t>Outbound Investment</w:t>
      </w:r>
      <w:r>
        <w:rPr>
          <w:rFonts w:ascii="Times New Roman;Times;Serif" w:hAnsi="Times New Roman;Times;Serif"/>
          <w:b w:val="false"/>
          <w:i w:val="false"/>
          <w:caps w:val="false"/>
          <w:smallCaps w:val="false"/>
          <w:sz w:val="20"/>
        </w:rPr>
        <w:t>. Neither the Company nor any of its subsidiaries is a “covered foreign person,” as that term is defined in 31 C.F.R. § 850.209. The transactions contemplated in this Agreement will not result in the establishment of a covered foreign person or the engagement by a “person of a country of concern,” as defined in 31 C.F.R. § 850.221, in a covered activity, as that term is defined in 31 C.F.R. § 850.208. Neither the Company nor any of its subsidiaries currently engages, or has plans to engage, directly or indirectly, in a covered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 Any certificate signed by any officer of the Company and delivered to any Underwriter or to counsel to the Underwriters in connection with the offering of the Securities and dated a Representation Date shall be deemed a representation and warranty by the Company to each Underwriter as to the matters covered thereby on such Representation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w:t>
        <w:tab/>
        <w:t>     </w:t>
      </w:r>
      <w:r>
        <w:rPr>
          <w:rFonts w:ascii="Times New Roman;Times;Serif" w:hAnsi="Times New Roman;Times;Serif"/>
          <w:b w:val="false"/>
          <w:i w:val="false"/>
          <w:caps w:val="false"/>
          <w:smallCaps w:val="false"/>
          <w:sz w:val="20"/>
          <w:u w:val="single"/>
        </w:rPr>
        <w:t>Sale and Delivery to Underwriters;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xml:space="preserve">. The Company hereby agrees to sell to the several Underwriters, and each Underwriter, upon the basis of the representations and warranties herein contained, but subject to the conditions hereinafter stated, agrees, severally and not jointly, to purchase from the Company the principal amount of Securities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opposite its name at a purchase price of 99.306% of the principal amount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Terms of Public Offering</w:t>
      </w:r>
      <w:r>
        <w:rPr>
          <w:rFonts w:ascii="Times New Roman;Times;Serif" w:hAnsi="Times New Roman;Times;Serif"/>
          <w:b w:val="false"/>
          <w:i w:val="false"/>
          <w:caps w:val="false"/>
          <w:smallCaps w:val="false"/>
          <w:sz w:val="20"/>
        </w:rPr>
        <w:t>. The Company is advised by the Representatives that the Underwriters propose to make a public offering of their respective portions of the Securities as soon after this Agreement has become effective as in the Representatives’ judgment is advisable. The Company is further advised by the Representatives that the Securities are to be offered to the public initially at 99.908% of the principal amount of the Notes, plus accrued interest, if any, from July 14, 2026, to the date of payment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Payment of the purchase price for, and delivery of, the Securities shall be made at the offices of Latham &amp; Watkins LLP, 1271 Avenue of the Americas, New York, New York 10020 or at such other place as shall be agreed upon by the Representatives and the Company, at 10:00 A.M. (New York City time) on July 14, 2026, or such other time not later than July 14, 2026, as shall be agreed upon by the Representatives and the Company (such time and date of payment and delivery being herein called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shall be made to the Company by wire transfer of immediately available funds to a bank account designated by the Company, against delivery to the Representatives for the respective accounts of the Underwriters of the Securities to be purchased by them. It is understood that each Underwriter has authorized the Representatives, for its account, to accept delivery of, receipt for, and make payment of the purchase price for, the Securities which it has severally agreed to purchase. The Representatives, individually and not as representatives of the Underwriters,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Denominations; Registration</w:t>
      </w:r>
      <w:r>
        <w:rPr>
          <w:rFonts w:ascii="Times New Roman;Times;Serif" w:hAnsi="Times New Roman;Times;Serif"/>
          <w:b w:val="false"/>
          <w:i w:val="false"/>
          <w:caps w:val="false"/>
          <w:smallCaps w:val="false"/>
          <w:sz w:val="20"/>
        </w:rPr>
        <w:t>. The Securities or certificates for the Securities, as applicable, shall be in such denominations and registered in such names as the Representatives may request in writing at least one full business day prior to the Closing Time. The Securities or certificates for the Securities, as applicable, will be made available for examination and packaging by the Representatives in The City of New York not later than 2:00 P.M. (New York City time) on the business day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w:t>
        <w:tab/>
        <w:t>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Representatives and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Securities Regulations and Commission Requests</w:t>
      </w:r>
      <w:r>
        <w:rPr>
          <w:rFonts w:ascii="Times New Roman;Times;Serif" w:hAnsi="Times New Roman;Times;Serif"/>
          <w:b w:val="false"/>
          <w:i w:val="false"/>
          <w:caps w:val="false"/>
          <w:smallCaps w:val="false"/>
          <w:sz w:val="20"/>
        </w:rPr>
        <w:t>. The Company, subject to Section 3(b), will comply with the requirements of Rule 430B of the 1933 Act Regulations and will notify the Representatives immediately, and confirm the notice in writing, of (i) the effectiveness of any post-effective amendment to the Registration Statement or any new registration statement relating to the Securities or the filing of any supplement or amendment to the Prospectus, (ii) the receipt of any comments from the Commission with respect to the Registration Statement, (iii) any request by the Commission for any amendment to the Registration Statement or any amendment or supplement to the Prospectus or for additional information, (iv) the issuance by the Commission of any stop order suspending the effectiveness of the Registration Statement or such new registration statement or of any order preventing or suspending the use of any preliminary prospectus relating to the Securities, or of the suspension of the qualification of the Securities for offering or sale in any jurisdiction, or of the initiation or threatening of any proceedings for any of such purposes or of any examination pursuant to Section 8(e) of the 1933 Act concerning the Registration Statement and (v) if the Company becomes the subject of a proceeding under Section 8A of the 1933 Act in connection with the offering of the Securities. The Company will promptly effect the filings required under Rule 424(b), in the manner and within the time period required by Rule 424(b) (without reliance on Rule 424(b)(8)), and will take such steps as it deems necessary to ascertain promptly whether the Prospectus transmitted for filing under Rule 424 was received for filing by the Commission and, in the event that it was not, it will promptly file the Prospectus. The Company will make every reasonable effort to prevent the issuance of any stop order and, if any stop order is issued, to obtain the lifting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Filing of Amendments and Exchange Act Documents; Preparation of Final Term Sheet</w:t>
      </w:r>
      <w:r>
        <w:rPr>
          <w:rFonts w:ascii="Times New Roman;Times;Serif" w:hAnsi="Times New Roman;Times;Serif"/>
          <w:b w:val="false"/>
          <w:i w:val="false"/>
          <w:caps w:val="false"/>
          <w:smallCaps w:val="false"/>
          <w:sz w:val="20"/>
        </w:rPr>
        <w:t xml:space="preserve">. The Company will give the Representatives notice of its intention to file or prepare any amendment to the Registration Statement or any new registration statement relating to the Securities or any amendment, supplement or revision to either any preliminary prospectus relating to the Securities (including any prospectus included in the Registration Statement or amendment thereto) at the time it became effective or to the Prospectus, whether pursuant to the 1933 Act, the 1934 Act or otherwise, and the Company will furnish the Representatives with copies of any such documents a reasonable amount of time prior to such proposed filing or use, as the case may be, and will not file or use any such document to which the Representatives or counsel to the Underwriters shall reasonably object. The Company has given the Representatives notice of any filings made pursuant to the 1934 Act or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and will not file or use any such document to which the Representatives or counsel for the Underwriters shall reasonably object. The Company will prepare a final term sheet (the “Final Term Sheet”) reflecting the final terms of the Securities, in form and substance satisfactory to the Representatives and substantially in the form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and shall file such Final Term Sheet as an “issuer free writing prospectus” pursuant to Rule 433; provided that the Company shall furnish the Representatives with copies of any such Final Term Sheet a reasonable amount of time prior to such proposed filing and will not use or file any such document to which the Representatives or counsel to the Underwriters shall reasonably object. To the extent the distribution of Securities has been completed, the Company will not be required to provide the Representatives with reports it is required to file with the Commission under the 1934 Act.</w:t>
      </w:r>
    </w:p>
    <w:p>
      <w:pPr>
        <w:pStyle w:val="TextBody"/>
        <w:bidi w:val="0"/>
        <w:spacing w:before="0" w:after="0"/>
        <w:ind w:left="0" w:right="0" w:hanging="0"/>
        <w:jc w:val="left"/>
        <w:rPr/>
      </w:pPr>
      <w:r>
        <w:rPr/>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Registration Statement</w:t>
      </w:r>
      <w:r>
        <w:rPr>
          <w:rFonts w:ascii="Times New Roman;Times;Serif" w:hAnsi="Times New Roman;Times;Serif"/>
          <w:b w:val="false"/>
          <w:i w:val="false"/>
          <w:caps w:val="false"/>
          <w:smallCaps w:val="false"/>
          <w:sz w:val="20"/>
        </w:rPr>
        <w:t>. The Company has furnished or will deliver to the Representatives and counsel to the Underwriters, without charge and upon request, signed copies of the Registration Statement and of each amendment thereto (including exhibits filed therewith or incorporated by reference therein and documents incorporated or deemed to be incorporated by reference therein or otherwise deemed to be part thereof) and signed copies of all consents and certificates of experts, and will also deliver to the Representatives, without charge, a conformed copy of the Registration Statement and of each amendment thereto (without exhibits) for each of the Underwriters. The Registration Statement and each amendment thereto furnished to the Underwriters will be identical to any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Delivery of Prospectuses</w:t>
      </w:r>
      <w:r>
        <w:rPr>
          <w:rFonts w:ascii="Times New Roman;Times;Serif" w:hAnsi="Times New Roman;Times;Serif"/>
          <w:b w:val="false"/>
          <w:i w:val="false"/>
          <w:caps w:val="false"/>
          <w:smallCaps w:val="false"/>
          <w:sz w:val="20"/>
        </w:rPr>
        <w:t>. The Company will deliver to each Underwriter, without charge, as many copies of each preliminary prospectus as such Underwriter may reasonably request, and the Company hereby consents to the use of such copies for purposes permitted by the 1933 Act. The Company will furnish to each Underwriter, without charge, during the period when the Prospectus is required to be delivered under the 1933 Act or the 1934 Act, such number of copies of the Prospectus as such Underwriter may reasonably request. The Prospectus and any amendments or supplements thereto furnished to the Underwriters will be identical to any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Continued Compliance with Securities Laws</w:t>
      </w:r>
      <w:r>
        <w:rPr>
          <w:rFonts w:ascii="Times New Roman;Times;Serif" w:hAnsi="Times New Roman;Times;Serif"/>
          <w:b w:val="false"/>
          <w:i w:val="false"/>
          <w:caps w:val="false"/>
          <w:smallCaps w:val="false"/>
          <w:sz w:val="20"/>
        </w:rPr>
        <w:t>. The Company will comply with the 1933 Act and the 1933 Act Regulations and the 1934 Act and the 1934 Act Regulations so as to permit the completion of the distribution of the Securities as contemplated in this Agreement and in the Registration Statement and the Prospectus. If at any time when the Prospectus is required by the 1933 Act or the 1934 Act to be delivered in connection with sales of the Securities, any event shall occur or condition shall exist as a result of which it is necessary, in the reasonable opinion of outside counsel to the Underwriters or for the Company,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Prospectus in order that the Prospectus will not include an untrue statement of a material fact or omit to state a material fact necessary in order to make the statements therein not misleading in the light of the circumstances existing at the time it is delivered to a purchaser, or if it shall be necessary, in the reasonable opinion of such outside counsel, at any such time to amend the Registration Statement, to file a new registration statement, or to amend or supplement the Prospectus in order to comply with the requirements of the 1933 Act or the 1933 Act Regulations, the Company will (i) promptly prepare and file with the Commission, subject to Section 3(b), such amendment, supplement or new registration statement as may be necessary to correct such statement or omission or to comply with such requirements, (ii) use its best efforts to have such amendment or new registration statement declared effective as soon as practicable (if it is not an automatic shelf registration statement with respect to the Securities), and (iii) furnish to the Underwriters, without charge, such number of copies of such amendment, supplement or new registration statement as the Underwriters may reasonably request. If at any time following the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Securities) or the Statutory Prospectus or any preliminary prospectus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Blue Sky Qualifications</w:t>
      </w:r>
      <w:r>
        <w:rPr>
          <w:rFonts w:ascii="Times New Roman;Times;Serif" w:hAnsi="Times New Roman;Times;Serif"/>
          <w:b w:val="false"/>
          <w:i w:val="false"/>
          <w:caps w:val="false"/>
          <w:smallCaps w:val="false"/>
          <w:sz w:val="20"/>
        </w:rPr>
        <w:t>. The Company will use its reasonable best efforts, in cooperation with the Underwriters, to qualify the Securities for offering and sale under the applicable securities laws of such states and other jurisdictions (domestic or foreign) as the Representatives may designate and to maintain such qualifications in effect for a period of not less than one year from the date of this Agreement;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for a period of not less than one year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timely file such reports pursuant to the 1934 Act as are necessary in order to make generally available to its securityholders as soon as practicable an earnings statement for the purposes of, and to provide to the Underwriters the benefits contemplated by, the last paragraph of Section 11(a) of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received by it from the sale of the Securities in the manner specified in the Prospectus under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Restriction on Sale of Securities</w:t>
      </w:r>
      <w:r>
        <w:rPr>
          <w:rFonts w:ascii="Times New Roman;Times;Serif" w:hAnsi="Times New Roman;Times;Serif"/>
          <w:b w:val="false"/>
          <w:i w:val="false"/>
          <w:caps w:val="false"/>
          <w:smallCaps w:val="false"/>
          <w:sz w:val="20"/>
        </w:rPr>
        <w:t>. During the period beginning on the date hereof and continuing to and including the Closing Time, the Company will not, without the prior written consent of the Representatives, directly or indirectly, issue, sell, offer or contract to sell, grant any option for the sale of, or otherwise dispose of, any debt securities of the Company or warrants to purchase debt securities of the Company substantially similar to the Securities (other than (i) the Securities or (ii) commercial paper issued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Reporting Requirements</w:t>
      </w:r>
      <w:r>
        <w:rPr>
          <w:rFonts w:ascii="Times New Roman;Times;Serif" w:hAnsi="Times New Roman;Times;Serif"/>
          <w:b w:val="false"/>
          <w:i w:val="false"/>
          <w:caps w:val="false"/>
          <w:smallCaps w:val="false"/>
          <w:sz w:val="20"/>
        </w:rPr>
        <w:t>.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w:t>
      </w:r>
    </w:p>
    <w:p>
      <w:pPr>
        <w:pStyle w:val="TextBody"/>
        <w:bidi w:val="0"/>
        <w:spacing w:before="0" w:after="0"/>
        <w:ind w:left="0" w:right="0" w:hanging="0"/>
        <w:jc w:val="left"/>
        <w:rPr/>
      </w:pPr>
      <w:r>
        <w:rPr/>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Issuer Free Writing Prospectuses</w:t>
      </w:r>
      <w:r>
        <w:rPr>
          <w:rFonts w:ascii="Times New Roman;Times;Serif" w:hAnsi="Times New Roman;Times;Serif"/>
          <w:b w:val="false"/>
          <w:i w:val="false"/>
          <w:caps w:val="false"/>
          <w:smallCaps w:val="false"/>
          <w:sz w:val="20"/>
        </w:rPr>
        <w:t>. 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Securities that would constitute an “issuer free writing prospectus,” as defined in Rule 433, or that would otherwise constitute a “free writing prospectus,” as defined in Rule 405, required to be filed with the Commission; provided, however, that prior to the preparation of the Final Term Sheet in accordance with Section 3(b), the Underwriters are authorized to use the information with respect to the final terms of the Securities in communications conveying information relating to the offering to investors. Any such free writing prospectus consented to by the Company and the Representatives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Registration Statement Renewal Deadline</w:t>
      </w:r>
      <w:r>
        <w:rPr>
          <w:rFonts w:ascii="Times New Roman;Times;Serif" w:hAnsi="Times New Roman;Times;Serif"/>
          <w:b w:val="false"/>
          <w:i w:val="false"/>
          <w:caps w:val="false"/>
          <w:smallCaps w:val="false"/>
          <w:sz w:val="20"/>
        </w:rPr>
        <w:t>. If immediately prior to the third anniversary (the “Renewal Deadline”) of the initial effective date of the Registration Statement, any of the Securities remain unsold by the Underwriters, the Company will prior to the Renewal Deadline file, if it has not already done so and is eligible to do so, a new automatic shelf registration statement relating to the Securities, in a form reasonably satisfactory to the Representatives. If the Company is no longer eligible to file an automatic shelf registration statement, the Company will prior to the Renewal Deadline, if it has not already done so, file a new shelf registration statement relating to the Securities, in a form reasonably satisfactory to the Representatives, and will use its reasonable best efforts to cause such registration statement to be declared effective within 60 days after the Renewal Deadline. The Company will take all other action reasonably necessary or appropriate to permit the public offering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Notice of Inability to Use Automatic Shelf Registration Statement Form</w:t>
      </w:r>
      <w:r>
        <w:rPr>
          <w:rFonts w:ascii="Times New Roman;Times;Serif" w:hAnsi="Times New Roman;Times;Serif"/>
          <w:b w:val="false"/>
          <w:i w:val="false"/>
          <w:caps w:val="false"/>
          <w:smallCaps w:val="false"/>
          <w:sz w:val="20"/>
        </w:rPr>
        <w:t>. If at any time when Securities remain unsold by the Underwriters the Company receives from the Commission a notice pursuant to Rule 401(g)(2) of the 1933 Act Regulations or otherwise ceases to be eligible to use the automatic shelf registration statement form, the Company will (i) promptly notify the Representatives, (ii) promptly file a new registration statement or post-effective amendment on the proper form relating to the Securities, in a form reasonably satisfactory to the Representatives, (iii) use its reasonable best efforts to cause such registration statement or post-effective amendment to be declared effective and (iv) promptly notify the Representatives of such effectiveness. The Company will take all other action reasonably necessary or appropriate to permit the public offering and sale of the Securities to continue as contemplated in the registration statement that was the subject of the Rule 401(g)(2) of the 1933 Act Regulations notice or for which the Company has otherwise become ineligible. References herein to the Registration Statement shall include such new registration statement or post-effective amendment,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Filing Fees</w:t>
      </w:r>
      <w:r>
        <w:rPr>
          <w:rFonts w:ascii="Times New Roman;Times;Serif" w:hAnsi="Times New Roman;Times;Serif"/>
          <w:b w:val="false"/>
          <w:i w:val="false"/>
          <w:caps w:val="false"/>
          <w:smallCaps w:val="false"/>
          <w:sz w:val="20"/>
        </w:rPr>
        <w:t>. The Company agrees to pay the required Commission filing fees relating to the Securities within the time required by Rule 456(b)(1) of the 1933 Act Regulations without regard to the proviso therein and otherwise in accordance with Rules 456(b) and 457(r) of the 1933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Stabilization</w:t>
      </w:r>
      <w:r>
        <w:rPr>
          <w:rFonts w:ascii="Times New Roman;Times;Serif" w:hAnsi="Times New Roman;Times;Serif"/>
          <w:b w:val="false"/>
          <w:i w:val="false"/>
          <w:caps w:val="false"/>
          <w:smallCaps w:val="false"/>
          <w:sz w:val="20"/>
        </w:rPr>
        <w:t>. The Company will not take, directly or indirectly, any action designed to or that could reasonably be expected to cause or result in any stabilization or manipulation of the price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w:t>
        <w:tab/>
        <w:t>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will pay all expenses incident to the performance of its obligations under this Agreement, including (i) the preparation, printing and filing of the Registration Statement (including financial statements and exhibits) as originally filed and of each amendment thereto, (ii) the preparation, printing and delivery to the Underwriters of this Agreement, any Agreement among Underwriters, the Indenture and such other documents as may be required in connection with the offering, purchase, sale, issuance or delivery of the Securities, (iii) the preparation, issuance and delivery of the Securities and any certificates for the Securities, as applicable, to the Underwriters, including any transfer taxes and any stamp or other duties payable upon the sale, issuance or delivery of the Securities to the Underwriters, (iv) the fees and disbursements of the Company’s counsel, accountants and other advisors or agents (including transfer agents and registrars), as well as the fees and disbursements of the Trustee, and its respective counsel, (v) the qualification of the Securities under state securities laws in accordance with the provisions of Section 3(f) hereof, including filing fees and the reasonable fees and disbursements of counsel to the Underwriters in connection therewith and in connection with the preparation, printing and delivery of the Blue Sky Survey, and any amendment thereto, (vi) the printing and delivery to the Underwriters of copies of each preliminary prospectus, any Permitted Free Writing Prospectus, and the Prospectus and any amendments or supplements thereto and any costs associated with electronic delivery of any of the foregoing by the Underwriters to investors, (vii) the fees charged by nationally recognized statistical rating organizations for the rating of the Securities, if applicable, (viii) the fees and expenses incurred with respect to the listing of the Securities, if applicable, (ix) the filing fees incident to, and the reasonable fees and disbursements of counsel to the Underwriters in connection with, the review, if any, by the Financial Industry Regulatory Authority (the “FINRA”) of the terms of sale of the Securities, if applicable, (x) the fees and expenses of any Underwriter acting in the capacity of a “qualified independent underwriter” (as defined in Section 20 of Schedule E of the bylaws of the FINRA), if applicable and (xi)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fifth paragraph of Section 1(a)(ii); provided that the Company shall not be responsible for reasonable fees and disbursements of counsel to the Underwriters under (v) and (ix) above that exceed $15,000 in the aggregate. It being understood, however, that, except as provided in this Section, the Underwriters will pay all of their own costs and expenses, including the fees of their counsel, transfer taxes on resale of any securities by them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 If this Agreement is terminated by the Representatives in accordance with the provisions of Section 5 or 9(a)(i) or 9(a)(iii) (only with respect to the Company’s securities), hereof, the Company shall reimburse the Underwriters for all of their out-of-pocket accountable expenses actually incurred, including the reasonable fees and disbursements of counsel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w:t>
        <w:tab/>
        <w:t>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The obligations of the Underwriters to purchase and pay for the Securities are subject to the accuracy of the representations and warranties of the Company contained in Section 1 hereof or in certificates of any officer of the Company delivered pursuant to the provisions hereof, to the performance by the Company of its covenants and other obligations hereunder, and to the following further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Effectiveness of Registration Statement; Filing of Prospectus</w:t>
      </w:r>
      <w:r>
        <w:rPr>
          <w:rFonts w:ascii="Times New Roman;Times;Serif" w:hAnsi="Times New Roman;Times;Serif"/>
          <w:b w:val="false"/>
          <w:i w:val="false"/>
          <w:caps w:val="false"/>
          <w:smallCaps w:val="false"/>
          <w:sz w:val="20"/>
        </w:rPr>
        <w:t>. The Registration Statement has become effective under the 1933 Act and no stop order suspending the effectiveness of the Registration Statement shall have been issued under the 1933 Act and no proceedings for that purpose shall have been instituted or be pending or threatened by the Commission, and any request on the part of the Commission for additional information shall have been complied with to the reasonable satisfaction of counsel to the Underwriters. The Company has not received from the Commission any notice pursuant to Rule 401(g)(2) of the 1933 Act Regulations objecting to use of the automatic shelf registration statement form, and the Company has not otherwise ceased to be eligible to use the automatic shelf registration statement form. The Prospectus containing the Rule 430B Information relating to the description of the Securities, the specific method of distribution and similar matters shall have been filed with the Commission in the manner and within the time period required by Rule 424(b) (without reliance on Rule 424(b)(8)), as applicable (or any required post-effective amendment providing such information shall have been filed and become effective in accordance with the requirements of Rule 430B).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Opinions of Counsel to the Company</w:t>
      </w:r>
      <w:r>
        <w:rPr>
          <w:rFonts w:ascii="Times New Roman;Times;Serif" w:hAnsi="Times New Roman;Times;Serif"/>
          <w:b w:val="false"/>
          <w:i w:val="false"/>
          <w:caps w:val="false"/>
          <w:smallCaps w:val="false"/>
          <w:sz w:val="20"/>
        </w:rPr>
        <w:t>. At the Closing Time, the Representatives shall have received the favorable opinions, dated as of the Closing Time, of (i) Bass, Berry &amp; Sims PLC, counsel to the Company, (ii) the Senior Vice President, General Counsel and Secretary of the Company and (iii) Brownstein Hyatt Farber Schreck, LLP, Nevada counsel to the Company, each in the form previously agreed upon between the opining party and the Representatives, together with signed or reproduced copies of such letter for each of the other Underwriters. To the extent applicable, each such counsel may state that, insofar as such opinion involves factual matters, they have relied, to the extent they deem proper, upon certificates of officers of the Company and its subsidiaries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Opinion of Counsel to the Underwriters</w:t>
      </w:r>
      <w:r>
        <w:rPr>
          <w:rFonts w:ascii="Times New Roman;Times;Serif" w:hAnsi="Times New Roman;Times;Serif"/>
          <w:b w:val="false"/>
          <w:i w:val="false"/>
          <w:caps w:val="false"/>
          <w:smallCaps w:val="false"/>
          <w:sz w:val="20"/>
        </w:rPr>
        <w:t>. At the Closing Time, the Representatives shall have received the favorable opinion and the favorable negative assurance letter, in each case, reasonably satisfactory to the Underwriters, dated as of the Closing Time, of Latham &amp; Watkins LLP, counsel to the Underwriters, together with signed or reproduced copies of each such letter for each of the other Underwriters. In giving such opinion, such counsel may rely, as to all matters governed by the laws of jurisdictions other than the law of the State of New York and the federal law of the United States, upon the opinions of counsel satisfactory to the Representatives. Such counsel may also state that, insofar as such opinion involves factual matters, they have relied, to the extent they deem proper, upon certificates of officers of the Company and its subsidiaries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At the Closing Time, there shall not have been, since the date hereof or since the respective dates as of which information is given in the General Disclosure Package, any material adverse change in the financial condition, earnings, management or business affairs, or any development involving a prospective material adverse change in the financial condition, earnings, management or business affairs, of the Company and its subsidiaries considered as one enterprise, whether or not arising in the ordinary course of business, and the Representatives shall have received a certificate of the President or a Vice President of the Company and of the chief financial officer or chief accounting officer of the Company, dated as of the Closing Time, to the effect that (i) there has been no such material adverse change, (ii) the representations and warranties in Section 1(a)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has been issued and no proceedings for that purpose have been instituted, are pending or, to the best of such officer’s knowledge, are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Accountant’s Comfort Letter</w:t>
      </w:r>
      <w:r>
        <w:rPr>
          <w:rFonts w:ascii="Times New Roman;Times;Serif" w:hAnsi="Times New Roman;Times;Serif"/>
          <w:b w:val="false"/>
          <w:i w:val="false"/>
          <w:caps w:val="false"/>
          <w:smallCaps w:val="false"/>
          <w:sz w:val="20"/>
        </w:rPr>
        <w:t>. At the time of the execution of this Agreement, the Representatives shall have received from Ernst &amp; Young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Bring-down Comfort Letter</w:t>
      </w:r>
      <w:r>
        <w:rPr>
          <w:rFonts w:ascii="Times New Roman;Times;Serif" w:hAnsi="Times New Roman;Times;Serif"/>
          <w:b w:val="false"/>
          <w:i w:val="false"/>
          <w:caps w:val="false"/>
          <w:smallCaps w:val="false"/>
          <w:sz w:val="20"/>
        </w:rPr>
        <w:t>. At the Closing Time, the Representatives shall have received from Ernst &amp; Young LLP a letter, dated as of the Closing Time, to the effect that they reaffirm the statements made in the letter furnished pursuant to subsection (e) of this Section 5, except that the specified date referred to shall be a date not more than three business days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Ratings</w:t>
      </w:r>
      <w:r>
        <w:rPr>
          <w:rFonts w:ascii="Times New Roman;Times;Serif" w:hAnsi="Times New Roman;Times;Serif"/>
          <w:b w:val="false"/>
          <w:i w:val="false"/>
          <w:caps w:val="false"/>
          <w:smallCaps w:val="false"/>
          <w:sz w:val="20"/>
        </w:rPr>
        <w:t>. At the Closing Time, the Securities shall have the ratings accorded by any “nationally recognized statistical rating organization” (as defined by the Commission in Section 3(a)(62) of the 1934 Act), and the Company shall have delivered to the Representatives a letter, dated as of such date, from each such rating organization, or other evidence satisfactory to the Representatives, confirming that the Securities have such ratings. Since the date hereof, there shall not have occurred at the Closing Time, a downgrading in, or withdrawal of, the rating assigned to the Securities or any of the Company’s other securities by any such rating organization, and no such rating organization shall have publicly announced, or provided notice that, it has under surveillance or review its rating of the Securities or any of the Company’s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Objection</w:t>
      </w:r>
      <w:r>
        <w:rPr>
          <w:rFonts w:ascii="Times New Roman;Times;Serif" w:hAnsi="Times New Roman;Times;Serif"/>
          <w:b w:val="false"/>
          <w:i w:val="false"/>
          <w:caps w:val="false"/>
          <w:smallCaps w:val="false"/>
          <w:sz w:val="20"/>
        </w:rPr>
        <w:t>. If the Registration Statement or an offering of the Securities is required to be filed with the FINRA for review, the FINRA shall not have raised any objection with respect to the fairness and reasonableness of the underwriting terms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At the Closing Time, counsel to the Underwriters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Termination of Underwriting Agreement</w:t>
      </w:r>
      <w:r>
        <w:rPr>
          <w:rFonts w:ascii="Times New Roman;Times;Serif" w:hAnsi="Times New Roman;Times;Serif"/>
          <w:b w:val="false"/>
          <w:i w:val="false"/>
          <w:caps w:val="false"/>
          <w:smallCaps w:val="false"/>
          <w:sz w:val="20"/>
        </w:rPr>
        <w:t>. If any condition specified in this Section 5 shall not have been fulfilled when and as required to be fulfilled, this Agreement may be terminated by the Representatives by notice to the Company at any time at or prior to the Closing Time, and such termination shall be without liability of any party to any other party except as provided in Section 4 and except that Sections 6, 7, 8 and 15 shall survive any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w:t>
        <w:tab/>
        <w:t>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of Underwriters</w:t>
      </w:r>
      <w:r>
        <w:rPr>
          <w:rFonts w:ascii="Times New Roman;Times;Serif" w:hAnsi="Times New Roman;Times;Serif"/>
          <w:b w:val="false"/>
          <w:i w:val="false"/>
          <w:caps w:val="false"/>
          <w:smallCaps w:val="false"/>
          <w:sz w:val="20"/>
        </w:rPr>
        <w:t>. The Company agrees to indemnify and hold harmless each Underwriter, its affiliates, and each of their respective officers, directors, employees and agents and each other entity or person, if any, who controls any Underwriter within the meaning of Section 15 of the 1933 Act or Section 20 of the 1934 Act (collectively, the “Underwriter Indemnified Parties”)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arising out of any untrue statement or alleged untrue statement of a material fact contained in the Registration Statement (or any amendment thereto), including the Rule 430B Information deemed to be a part thereof, if applicable,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relating to the Securities, any Issuer Free Writing Prospectus, Permitted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any and all loss, liability, claim, damage and expense whatsoever, as incurred, to the extent of the aggregate amount paid in settlement of any litigation, or any investigation or proceeding by any governmental agency or body, commenced or threatened, or any claim whatsoever based upon any such untrue statement or omission, or any such alleged untrue statement or omission in each case as described in paragraph 6(a)(i) above; provided that (subject to Section 6(d) below) any such settlement is effected with the written consent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in each case as described in paragraph 6(a)(i) above, to the extent that any such expense is not paid under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any Underwriter Indemnified Party through the Representatives expressly for use in the Registration Statement (or any amendment thereto), including the Rule 430B Information, or any preliminary prospectus, any Issuer Free Writing Prospectus, any Permitted Free Writing Prospectus or the Prospectus (or any amendment or supplement thereto), it being understood and agreed that the only such information furnished by any Underwriter consists of the information described as such in paragraph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of Company, Directors and Officers</w:t>
      </w:r>
      <w:r>
        <w:rPr>
          <w:rFonts w:ascii="Times New Roman;Times;Serif" w:hAnsi="Times New Roman;Times;Serif"/>
          <w:b w:val="false"/>
          <w:i w:val="false"/>
          <w:caps w:val="false"/>
          <w:smallCaps w:val="false"/>
          <w:sz w:val="20"/>
        </w:rPr>
        <w:t>. Each Underwriter severally and not jointly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430B Information, or any preliminary prospectus relating to the Securities, any Issuer Free Writing Prospectus, Permitted Free Writing Prospectus or the Prospectus (or any amendment or supplement thereto) in reliance upon and in conformity with written information furnished to the Company by such Underwriter through the Representatives expressly for use therein, it being understood and agreed upon that the only such information furnished by any Underwriter consists solely of (x) the names of such Underwriter as presented on the front and back cover of the General Disclosure Package and the Prospectus, and (y) third, eighth and ninth paragraphs under the heading “Underwriting” contained in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Actions against Parties; Notification</w:t>
      </w:r>
      <w:r>
        <w:rPr>
          <w:rFonts w:ascii="Times New Roman;Times;Serif" w:hAnsi="Times New Roman;Times;Serif"/>
          <w:b w:val="false"/>
          <w:i w:val="false"/>
          <w:caps w:val="false"/>
          <w:smallCaps w:val="false"/>
          <w:sz w:val="20"/>
        </w:rPr>
        <w:t>.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Settlement without Consent if Failure to Reimburse</w:t>
      </w:r>
      <w:r>
        <w:rPr>
          <w:rFonts w:ascii="Times New Roman;Times;Serif" w:hAnsi="Times New Roman;Times;Serif"/>
          <w:b w:val="false"/>
          <w:i w:val="false"/>
          <w:caps w:val="false"/>
          <w:smallCaps w:val="false"/>
          <w:sz w:val="20"/>
        </w:rPr>
        <w:t>. If at any time an indemnified party shall have requested in writing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written request, (ii) such indemnifying party shall have received notice of the terms of such settlement at least 30 days prior to such settlement being entered into and (iii) such indemnifying party shall not have reimbursed such indemnified party in accordance with such written request prior to the date of such settlement. Notwithstanding the immediately preceding sentence, if at any time an indemnified party shall have requested in writing an indemnifying party to reimburse the indemnified party for fees and expenses of counsel, an indemnifying party shall not be liable for any settlement of the nature contemplated by Section 6(a)(ii) effected without its written consent if (x) such indemnifying party reimburses such indemnified party in accordance with such request to the extent it considers such request to be reasonable; and (y) such indemnifying party provides written notice to the indemnified party substantiating the unpaid balance as unreasonable, in each case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w:t>
        <w:tab/>
        <w:t>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or (ii) if the allocation provided by clause (i)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liabilities, claims, damages or expenses, as well as any other relevant equitable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benefits received by the Company, on the one hand, and the Underwriters, on the other hand, in connection with the offering of the Securities shall be deemed to be in the same respective proportions as the total net proceeds from the offering of such Securities (before deducting expenses) received by the Company and the total underwriting discount received by the Underwriters, in each case as set forth on the cover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guilty of fraudulent misrepresentation (within the meaning of Section 11(f) of the 1933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Section 7,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or aggregate principal amount, as the case may be, of Securities set forth opposite their respective names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w:t>
        <w:tab/>
        <w:t>     </w:t>
      </w:r>
      <w:r>
        <w:rPr>
          <w:rFonts w:ascii="Times New Roman;Times;Serif" w:hAnsi="Times New Roman;Times;Serif"/>
          <w:b w:val="false"/>
          <w:i w:val="false"/>
          <w:caps w:val="false"/>
          <w:smallCaps w:val="false"/>
          <w:sz w:val="20"/>
          <w:u w:val="single"/>
        </w:rPr>
        <w:t>Representations, Warranties and Agreements to Survive Delivery</w:t>
      </w:r>
      <w:r>
        <w:rPr>
          <w:rFonts w:ascii="Times New Roman;Times;Serif" w:hAnsi="Times New Roman;Times;Serif"/>
          <w:b w:val="false"/>
          <w:i w:val="false"/>
          <w:caps w:val="false"/>
          <w:smallCaps w:val="false"/>
          <w:sz w:val="20"/>
        </w:rPr>
        <w:t>. All representations, warranties and agreements contained in this Agreement or in certificates of officers of the Company or any of its subsidiaries submitted pursuant hereto or thereto shall remain operative and in full force and effect, regardless of any investigation made by or on behalf of any Underwriter or controlling person, or by or on behalf of the Company, and shall survive delivery of and payment for the Securities; provided, however, that the representations and warranties of the Company shall be deemed to be made as of the date of execution of this Agreement and the Closing Time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w:t>
        <w:tab/>
        <w:t>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The Representatives may terminate this Agreement, by notice to the Company, at any time at or prior to the Closing Time if (i) there has been, since the time of execution of this Agreement or since the respective dates as of which information is given in the General Disclosure Package, (1) any material adverse change in the financial condition, earnings, management or business of the Company and its subsidiaries considered as one enterprise, whether or not arising in the ordinary course of business, or (2) any development involving a prospective material adverse change in or affecting the financial condition, earnings, management or business of the Company and its subsidiaries taken as a whole, otherwise than as set forth or contemplated in the General Disclosure Package, in any case the effect of which is such as to make it, in the judgment of the Representatives, impracticable or inadvisable to market the Securities or to enforce contracts for the sale of the Securities, or (ii) there has occurred any material adverse change in the financial markets in the United States or, if the Securities include Securities denominated or payable in, or indexed to, one or more foreign or composite currencies, in the international financial markets, or any outbreak of hostilities or escalation thereof or a declaration of a national emergency or war by the United States or other calamity or crisis or any material adverse change or development involving a prospective material adverse change in national or international political, financial or economic conditions, in each case the effect of which is such as to make it, in the judgment of the Representatives, impracticable or inadvisable to market the Securities or to enforce contracts for the sale of the Securities, or (iii) trading in any securities of the Company has been suspended or materially limited by the Commission or the New York Stock Exchange, or trading generally on the New York Stock Exchange or the over-the-counter market has been suspended or materially limited, or minimum or maximum prices for trading have been fixed, or maximum ranges for prices have been required, by such exchange or by such market or by order of the Commission, FINRA or any other governmental authority, or (iv) a banking moratorium has been declared by either Federal or New York authorities or, if the Securities include Securities denominated or payable in, or indexed to, one or more foreign or composite currencies, by the relevant authorities in the related foreign country or countries or a material disruption shall have occurred in commercial banking or securities settlement or clearance services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If this Agreement is terminated pursuant to this Section 9, such termination shall be without liability of any party to any other party except as provided in Section 4 hereof, and provided further that Sections 6, 7, 8 and 15 shall survive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w:t>
        <w:tab/>
        <w:t>     </w:t>
      </w:r>
      <w:r>
        <w:rPr>
          <w:rFonts w:ascii="Times New Roman;Times;Serif" w:hAnsi="Times New Roman;Times;Serif"/>
          <w:b w:val="false"/>
          <w:i w:val="false"/>
          <w:caps w:val="false"/>
          <w:smallCaps w:val="false"/>
          <w:sz w:val="20"/>
          <w:u w:val="single"/>
        </w:rPr>
        <w:t>Default by One or More of the Underwriters</w:t>
      </w:r>
      <w:r>
        <w:rPr>
          <w:rFonts w:ascii="Times New Roman;Times;Serif" w:hAnsi="Times New Roman;Times;Serif"/>
          <w:b w:val="false"/>
          <w:i w:val="false"/>
          <w:caps w:val="false"/>
          <w:smallCaps w:val="false"/>
          <w:sz w:val="20"/>
        </w:rPr>
        <w:t>. If one or more of the Underwriters shall fail at the Closing Time to purchase the Securities which it or they are obligated to purchase hereunder (the “Defaulted Securities”), then the Representatives shall have the right, within 36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36-hour period,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number or aggregate principal amount, as the case may be, of Defaulted Securities does not exceed 10% of the number or aggregate principal amount, as the case may be, of Securities to be purchased hereunder,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number or aggregate principal amount, as the case may be, of Defaulted Securities exceeds 10% of the number or aggregate principal amount, as the case may be, of Securities to be purchased hereunder, this Agreement shall terminate without liability on the part of any non-defaulting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taken pursuant to this Section 10 shall relieve any defaulting Underwriter from liability in respect of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such default which does not result in a termination of this Agreement, either the Representatives or the Company shall have the right to postpone the Closing Time for a period not exceeding seven days in order to effect any required changes in the Registration Statement or the Prospectus or in any other documents or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w:t>
        <w:tab/>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given if mailed or transmitted by any standard form of telecommunication. Notices to the Underwriters shall be directed to the Representatives: BofA Securities, Inc at c/o BofA Securities, Inc., 114 West 47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NY8-114-07-01 New York, New York 10036, Attention: High Grade Transaction Management/Legal (facsimile: (212) 901-7881), J.P. Morgan Securities LLC at c/o J.P. Morgan Securities LLC, 270 Park Avenue, New York, New York 10017, Attention: Investment Grade Syndicate Desk (fax no.: (212) 834-6081), Truist Securities, Inc. at c/o Truist Securities, Inc., 3333 Peachtree Road, NE, Atlanta, GA 30326 and U.S. Bancorp Investments, Inc. at c/o 214 N. Tryon St., 26th Floor, Charlotte, North Carolina 28202, Attention: Credit Fixed income, facsimile: (877) 774-3462; and notices to the Company shall be directed to it at 123 South Front Street, Memphis, Tennessee 38103, Attention: Senior Vice President, General Counsel and Secretary (facsimile number: (901) 495-8374).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12.</w:t>
        <w:tab/>
        <w:t>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 Any review by the Underwriters of the Company, the transactions contemplated hereby or other matters relating to such transactions will be performed solely for the benefit of the Underwriters and shall not be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13.</w:t>
        <w:tab/>
        <w:t>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supersedes all prior agreements and understandings (whether written or oral) between the Company and the Underwriters,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14.</w:t>
        <w:tab/>
        <w:t>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This Agreement shall inure to the benefit of and be binding upon the Company, the Representatives and any other Underwriters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or therein contained. This Agreement and all conditions and provisions hereof and thereof are intended to be for the sole and exclusive benefit of the parties hereto and thereto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15.</w:t>
        <w:tab/>
        <w:t>     </w:t>
      </w:r>
      <w:r>
        <w:rPr>
          <w:rFonts w:ascii="Times New Roman;Times;Serif" w:hAnsi="Times New Roman;Times;Serif"/>
          <w:b w:val="false"/>
          <w:i w:val="false"/>
          <w:caps w:val="false"/>
          <w:smallCaps w:val="false"/>
          <w:sz w:val="20"/>
          <w:u w:val="single"/>
        </w:rPr>
        <w:t>Governing Law and Time</w:t>
      </w:r>
      <w:r>
        <w:rPr>
          <w:rFonts w:ascii="Times New Roman;Times;Serif" w:hAnsi="Times New Roman;Times;Serif"/>
          <w:b w:val="false"/>
          <w:i w:val="false"/>
          <w:caps w:val="false"/>
          <w:smallCaps w:val="false"/>
          <w:sz w:val="20"/>
        </w:rPr>
        <w:t>. THIS AGREEMENT SHALL BE GOVERNED BY AND CONSTRUED IN ACCORDANCE WITH THE LAWS OF THE STATE OF NEW YORK. SPECIFIED TIMES OF DAY REFER TO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w:t>
        <w:tab/>
        <w:t>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Article and Section headings herein and the Table of Contents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17.</w:t>
        <w:tab/>
        <w:t>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18.</w:t>
        <w:tab/>
        <w:t>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Signature Page Follows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the Company a counterpart hereof, whereupon this Agreement, along with all counterparts, will become a binding agreement between the Representatives and the Company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0" w:type="dxa"/>
        </w:tblCellMar>
      </w:tblPr>
      <w:tblGrid>
        <w:gridCol w:w="75"/>
        <w:gridCol w:w="365"/>
        <w:gridCol w:w="590"/>
        <w:gridCol w:w="2195"/>
      </w:tblGrid>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85" w:type="dxa"/>
            <w:gridSpan w:val="2"/>
            <w:tcBorders>
              <w:bottom w:val="single" w:sz="4"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Jamere Jackson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Jamere Jackson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85" w:type="dxa"/>
            <w:gridSpan w:val="2"/>
            <w:tcBorders>
              <w:bottom w:val="single" w:sz="4"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L. Campbell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L. Campbell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1"/>
        <w:gridCol w:w="8128"/>
        <w:gridCol w:w="76"/>
      </w:tblGrid>
      <w:tr>
        <w:trPr/>
        <w:tc>
          <w:tcPr>
            <w:tcW w:w="10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w:t>
              <w:br/>
              <w:t>as of the date first above written on behalf of themselves and as Representatives of the underwriters named in Schedule I hereto:</w:t>
            </w:r>
          </w:p>
        </w:tc>
        <w:tc>
          <w:tcPr>
            <w:tcW w:w="76" w:type="dxa"/>
            <w:tcBorders/>
            <w:vAlign w:val="center"/>
          </w:tcPr>
          <w:p>
            <w:pPr>
              <w:pStyle w:val="TableContents"/>
              <w:bidi w:val="0"/>
              <w:spacing w:before="0" w:after="283"/>
              <w:jc w:val="left"/>
              <w:rPr/>
            </w:pPr>
            <w:r>
              <w:rPr/>
              <w:t> </w:t>
            </w:r>
          </w:p>
        </w:tc>
      </w:tr>
      <w:tr>
        <w:trPr/>
        <w:tc>
          <w:tcPr>
            <w:tcW w:w="101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BOFa Securities, Inc.</w:t>
            </w:r>
          </w:p>
        </w:tc>
        <w:tc>
          <w:tcPr>
            <w:tcW w:w="76" w:type="dxa"/>
            <w:tcBorders/>
            <w:vAlign w:val="center"/>
          </w:tcPr>
          <w:p>
            <w:pPr>
              <w:pStyle w:val="TableContents"/>
              <w:bidi w:val="0"/>
              <w:spacing w:before="0" w:after="283"/>
              <w:jc w:val="left"/>
              <w:rPr/>
            </w:pPr>
            <w:r>
              <w:rPr/>
              <w:t> </w:t>
            </w:r>
          </w:p>
        </w:tc>
      </w:tr>
      <w:tr>
        <w:trPr/>
        <w:tc>
          <w:tcPr>
            <w:tcW w:w="101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20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8128" w:type="dxa"/>
            <w:tcBorders>
              <w:bottom w:val="single" w:sz="4"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Christoper Cote</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r>
        <w:rPr/>
        <w:t>[Signature Page to Underwriting Agreement]</w:t>
      </w:r>
    </w:p>
    <w:p>
      <w:pPr>
        <w:pStyle w:val="TextBody"/>
        <w:bidi w:val="0"/>
        <w:jc w:val="center"/>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t> </w:t>
      </w:r>
    </w:p>
    <w:tbl>
      <w:tblPr>
        <w:tblW w:w="2929" w:type="dxa"/>
        <w:jc w:val="left"/>
        <w:tblInd w:w="0" w:type="dxa"/>
        <w:tblLayout w:type="fixed"/>
        <w:tblCellMar>
          <w:top w:w="0" w:type="dxa"/>
          <w:left w:w="0" w:type="dxa"/>
          <w:bottom w:w="0" w:type="dxa"/>
          <w:right w:w="0" w:type="dxa"/>
        </w:tblCellMar>
      </w:tblPr>
      <w:tblGrid>
        <w:gridCol w:w="576"/>
        <w:gridCol w:w="2278"/>
        <w:gridCol w:w="75"/>
      </w:tblGrid>
      <w:tr>
        <w:trPr/>
        <w:tc>
          <w:tcPr>
            <w:tcW w:w="285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J.P. Morgan Securities LLC  </w:t>
            </w:r>
          </w:p>
        </w:tc>
        <w:tc>
          <w:tcPr>
            <w:tcW w:w="75" w:type="dxa"/>
            <w:tcBorders/>
            <w:vAlign w:val="center"/>
          </w:tcPr>
          <w:p>
            <w:pPr>
              <w:pStyle w:val="TableContents"/>
              <w:bidi w:val="0"/>
              <w:spacing w:before="0" w:after="283"/>
              <w:jc w:val="left"/>
              <w:rPr/>
            </w:pPr>
            <w:r>
              <w:rPr/>
              <w:t> </w:t>
            </w:r>
          </w:p>
        </w:tc>
      </w:tr>
      <w:tr>
        <w:trPr/>
        <w:tc>
          <w:tcPr>
            <w:tcW w:w="28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78" w:type="dxa"/>
            <w:tcBorders>
              <w:bottom w:val="single" w:sz="4"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Saee Athalye</w:t>
            </w:r>
          </w:p>
        </w:tc>
        <w:tc>
          <w:tcPr>
            <w:tcW w:w="75" w:type="dxa"/>
            <w:tcBorders/>
            <w:vAlign w:val="center"/>
          </w:tcPr>
          <w:p>
            <w:pPr>
              <w:pStyle w:val="TableContents"/>
              <w:bidi w:val="0"/>
              <w:spacing w:before="0" w:after="283"/>
              <w:jc w:val="left"/>
              <w:rPr/>
            </w:pPr>
            <w:r>
              <w:rPr/>
              <w:t> </w:t>
            </w:r>
          </w:p>
        </w:tc>
      </w:tr>
      <w:tr>
        <w:trPr/>
        <w:tc>
          <w:tcPr>
            <w:tcW w:w="28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2389" w:type="dxa"/>
        <w:jc w:val="left"/>
        <w:tblInd w:w="0" w:type="dxa"/>
        <w:tblLayout w:type="fixed"/>
        <w:tblCellMar>
          <w:top w:w="0" w:type="dxa"/>
          <w:left w:w="0" w:type="dxa"/>
          <w:bottom w:w="0" w:type="dxa"/>
          <w:right w:w="0" w:type="dxa"/>
        </w:tblCellMar>
      </w:tblPr>
      <w:tblGrid>
        <w:gridCol w:w="414"/>
        <w:gridCol w:w="1900"/>
        <w:gridCol w:w="75"/>
      </w:tblGrid>
      <w:tr>
        <w:trPr/>
        <w:tc>
          <w:tcPr>
            <w:tcW w:w="2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75"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00" w:type="dxa"/>
            <w:tcBorders>
              <w:bottom w:val="single" w:sz="4"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 Nordlinger</w:t>
            </w:r>
          </w:p>
        </w:tc>
        <w:tc>
          <w:tcPr>
            <w:tcW w:w="75"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44" w:type="dxa"/>
        <w:jc w:val="left"/>
        <w:tblInd w:w="0" w:type="dxa"/>
        <w:tblLayout w:type="fixed"/>
        <w:tblCellMar>
          <w:top w:w="0" w:type="dxa"/>
          <w:left w:w="0" w:type="dxa"/>
          <w:bottom w:w="0" w:type="dxa"/>
          <w:right w:w="0" w:type="dxa"/>
        </w:tblCellMar>
      </w:tblPr>
      <w:tblGrid>
        <w:gridCol w:w="805"/>
        <w:gridCol w:w="2364"/>
        <w:gridCol w:w="75"/>
      </w:tblGrid>
      <w:tr>
        <w:trPr/>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c>
          <w:tcPr>
            <w:tcW w:w="7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4" w:type="dxa"/>
            <w:tcBorders>
              <w:bottom w:val="single" w:sz="4"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 Cicoletti</w:t>
            </w:r>
          </w:p>
        </w:tc>
        <w:tc>
          <w:tcPr>
            <w:tcW w:w="7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5409" w:type="dxa"/>
        <w:jc w:val="left"/>
        <w:tblInd w:w="0" w:type="dxa"/>
        <w:tblLayout w:type="fixed"/>
        <w:tblCellMar>
          <w:top w:w="0" w:type="dxa"/>
          <w:left w:w="0" w:type="dxa"/>
          <w:bottom w:w="28" w:type="dxa"/>
          <w:right w:w="0" w:type="dxa"/>
        </w:tblCellMar>
      </w:tblPr>
      <w:tblGrid>
        <w:gridCol w:w="3095"/>
        <w:gridCol w:w="60"/>
        <w:gridCol w:w="230"/>
        <w:gridCol w:w="1949"/>
        <w:gridCol w:w="75"/>
      </w:tblGrid>
      <w:tr>
        <w:trPr/>
        <w:tc>
          <w:tcPr>
            <w:tcW w:w="30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Notes</w:t>
              <w:br/>
              <w:t>to be 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128,819,000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128,819,000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128,819,000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128,819,000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128,819,000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42,415,000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42,415,000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BBVA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JMP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Huntington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KeyBanc Capital Markets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US Capital Markets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Siebert Williams Shank &amp; Co.,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9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 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 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General Use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 dated 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 III-1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16769</Words>
  <Characters>90331</Characters>
  <CharactersWithSpaces>108100</CharactersWithSpaces>
  <Paragraphs>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